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374/22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23 marca 2022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przekazania uprawnień kierownikom jednostek organizacyjnych gminy do zaciągania zobowiązań z tytułu umów, których realizacja w roku budżetowym i w latach następnych jest niezbędna dla zapewnienia ciągłości działania gminy i z których wynikające płatności wykraczają poza rok budżetowy 2022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559),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258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305, poz.1236, poz. 1535, poz.1773,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1927, poz.1981, poz. 2054, poz.2270) oraz 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13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000000"/>
          <w:sz w:val="22"/>
          <w:u w:val="none" w:color="000000"/>
          <w:vertAlign w:val="baseline"/>
        </w:rPr>
        <w:t>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chwały nr</w:t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000000"/>
          <w:sz w:val="22"/>
          <w:u w:val="none" w:color="000000"/>
          <w:vertAlign w:val="baseline"/>
        </w:rPr>
        <w:t xml:space="preserve"> XXXVII/375/21 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ady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2021 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budżetu Gminy Suwałki na rok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Przekazuję kierownikom jednostek organizacyjnych Gminy Suwałki: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Gminnego Ośrodka 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Suwałkach;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Gminnego Zespołu Ekonomiczno-Administracyjny Szkół;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Podstawowej  im. Lotników Polskich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Płocicznie-Tartak;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Podstawowej im.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Pułku Ułanów Grochowskich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Przebrodzie;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Podstawowej im. Marii Konopnickiej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Starym Folwarku;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Podstawowej im. Papieża Jana Pawła 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Nowej Wsi;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uprawnienia do zaciągania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umów, których realizacja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budżetowym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latach następnych jest niezbędna dla zapewnienia ciągłości działania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których wynikające płatności wykraczają poza rok budżetowy 2022.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kierownikom jednostek organizacyjnych Gminy Suwałki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mocą obowiązującą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Wójt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Zbigniew Mackiewicz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7CEC78BA-31BE-4C9D-B777-9FA8961116F2.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374/22 z dnia 23 marca 2022 r.</dc:title>
  <dc:subject>w sprawie przekazania uprawnień kierownikom jednostek organizacyjnych gminy do zaciągania zobowiązań z^tytułu umów, których realizacja w^roku budżetowym i^w latach następnych jest niezbędna dla zapewnienia ciągłości działania gminy i^z których wynikające płatności wykraczają poza rok budżetowy 2022</dc:subject>
  <dc:creator>hmarcinkiewicz1</dc:creator>
  <cp:lastModifiedBy>hmarcinkiewicz1</cp:lastModifiedBy>
  <cp:revision>1</cp:revision>
  <dcterms:created xsi:type="dcterms:W3CDTF">2022-03-28T09:57:12Z</dcterms:created>
  <dcterms:modified xsi:type="dcterms:W3CDTF">2022-03-28T09:57:12Z</dcterms:modified>
  <cp:category>Akt prawny</cp:category>
</cp:coreProperties>
</file>