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V/34/24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Gminy Suwałki na lata 2024 – 2027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721)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1270,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1273,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1407,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1429,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1641,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1693,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1872,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858,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1089)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Wieloletnią Prognozę Finansową Gminy Suwałki na lata 2024–2027 wraz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prognozą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spłaty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2024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wykaz przedsięwzięć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2024–2027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przyjętych wartości,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IV/24/24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zmiany Wieloletniej Prognozy Finansowej Gminy Suwałki na lata 2024–2027.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5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V/34/24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95"/>
        <w:gridCol w:w="1365"/>
        <w:gridCol w:w="1320"/>
        <w:gridCol w:w="1335"/>
        <w:gridCol w:w="1095"/>
        <w:gridCol w:w="1335"/>
        <w:gridCol w:w="1320"/>
        <w:gridCol w:w="1260"/>
        <w:gridCol w:w="1275"/>
        <w:gridCol w:w="1260"/>
        <w:gridCol w:w="1095"/>
        <w:gridCol w:w="12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43 869 588,84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38 948 890,11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5 880 129,00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144 391,78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4 420 767,00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10 490 690,03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18 012 912,30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12 520 566,03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4 920 698,73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1 887 457,19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3 022 800,00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45 432 424,02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40 335 977,37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6 216 387,00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181 821,06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6 204 946,00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10 728 155,44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17 004 667,87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10 768 260,93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5 096 446,65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2 474 779,17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2 616 030,96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50 453 548,81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44 399 256,24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8 315 142,00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122 934,21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4 926 439,00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13 087 245,53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17 947 495,50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10 989 660,55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6 054 292,57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346 579,31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5 700 776,74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58 041 844,87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51 078 706,38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8 260 138,00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662 828,90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6 903 624,00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15 602 897,25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19 649 218,23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11 752 513,94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6 963 138,49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1 807 955,07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5 148 272,73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62 883 414,01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51 778 671,03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8 635 855,00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900 792,49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6 023 460,00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14 319 548,14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21 899 015,40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12 704 759,49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11 104 742,98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880 555,61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10 210 278,46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72 491 734,50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64 983 090,39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10 504 714,57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545 455,54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5 152 396,00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19 120 486,53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29 660 037,75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14 264 786,13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7 508 644,11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270 269,11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7 233 005,41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58 423 075,99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52 525 014,42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8 019 943,00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9 023 392,69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27 110 658,73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15 694 300,00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5 898 061,57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327 369,00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5 560 025,57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64 087 230,96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55 391 916,49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8 394 321,15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10 210 821,28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28 415 754,06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16 365 779,08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8 695 314,47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327 350,54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8 357 297,25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91 480 505,57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62 171 594,51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10 982 610,00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952 236,00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10 227 989,00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9 418 946,31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30 589 813,20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16 994 550,00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29 308 911,06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206 990,00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29 098 013,06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71 098 006,16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57 790 642,00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11 432 897,00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991 277,00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8 863 362,00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5 364 851,00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31 138 255,00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18 771 146,00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13 307 364,16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12 907 364,16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63 126 916,00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59 196 916,00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11 787 316,00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1 022 007,00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9 138 126,00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5 531 162,00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31 718 305,00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19 339 952,00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3 930 000,00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2027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61 971 681,00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60 771 681,00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12 241 639,00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1 047 557,00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9 366 579,00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5 669 441,00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32 446 465,00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19 786 201,00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155"/>
        <w:gridCol w:w="1155"/>
        <w:gridCol w:w="1155"/>
        <w:gridCol w:w="885"/>
        <w:gridCol w:w="1095"/>
        <w:gridCol w:w="1035"/>
        <w:gridCol w:w="1245"/>
        <w:gridCol w:w="1140"/>
        <w:gridCol w:w="1140"/>
        <w:gridCol w:w="1290"/>
        <w:gridCol w:w="1260"/>
        <w:gridCol w:w="13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39 679 907,82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29 982 342,00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10 051 923,61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30 751,21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9 697 565,82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9 697 565,82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2 522 621,34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50 091 445,53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32 039 817,12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10 956 064,81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49 290,90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1 272 618,99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46 546 830,35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37 093 047,85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11 687 402,16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97 232,70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943 926,04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49 168 370,34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39 251 238,31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12 294 711,40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65 646,26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1 563 509,54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52 023 870,16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41 420 817,97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13 567 989,12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21 075,13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2 455 006,24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72 483 524,70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50 481 544,81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15 578 081,61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95 816,50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22 001 979,89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19 001 979,89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1 046 670,72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71 816 646,20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50 125 049,86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19 285 022,69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155 000,00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21 691 596,34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20 230 975,77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3 549 000,00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64 228 444,32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45 326 541,31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18 210 397,99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116 401,27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18 901 903,01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17 441 282,44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3 362 141,34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105 677 526,61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60 509 098,33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24 902 140,38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83 717,00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45 168 428,28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45 168 428,28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6 648 185,69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81 015 402,40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57 574 112,94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23 719 721,00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23 441 289,46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23 441 289,46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63 176 916,00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59 106 916,00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24 115 032,00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4 070 000,00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4 070 000,00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61 971 681,00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60 716 681,00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24 916 408,00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1 255 000,00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1 255 000,00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Wynik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Przychody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4 189 681,02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5 158 550,35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3 958 550,35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8 146 843,02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3 906 718,46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8 873 474,53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11 303 899,22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7 383 899,22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10 859 543,85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19 405 983,84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16 269 983,84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8 209,80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29 475 802,93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27 117 802,93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14 177 570,21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28 680 392,74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27 112 392,74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-14 197 021,04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14 981 021,04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14 197 021,04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14 197 021,04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-9 917 396,24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9 917 396,24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9 917 396,24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9 917 396,24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zrównoważenia wydatków bieżących, o której mowa w art. 242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8 966 548,11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14 125 098,46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8 296 160,25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17 493 003,27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7 306 208,39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16 684 296,47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11 827 468,07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23 131 367,29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10 357 853,06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29 763 836,90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14 501 545,58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43 977 348,51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2 399 964,56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16 577 534,77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10 065 375,18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38 745 767,92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1 662 496,18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16 643 517,22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216 529,06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10 133 925,30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90"/>
        <w:gridCol w:w="1875"/>
        <w:gridCol w:w="1875"/>
        <w:gridCol w:w="1875"/>
        <w:gridCol w:w="1875"/>
        <w:gridCol w:w="1875"/>
        <w:gridCol w:w="1875"/>
        <w:gridCol w:w="18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Wskaźnik spłaty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38,58%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36,67%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23,94%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37,77%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31,50%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33,01%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5,59%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6,34%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22,28%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1,64%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3,98%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4,37%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29,69%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32,07%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24,80%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27,18%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18,14%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20,52%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14,90%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17,28%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Finansowanie programów, projektów lub zadań realizowanych z udziałem środków, o których mowa w art. 5 ust. 1 pkt 2 i 3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 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32 735,10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32 735,10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30 817,26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126 144,17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126 144,17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107 134,08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110 442,32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127 101,96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573 926,39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2 660 929,05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310 108,47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253 280,23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530 517,95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75 055,20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574 499,48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455 607,81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668 430,30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308 643,81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308 643,81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269 246,11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547 338,06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547 338,06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521 220,05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662 837,83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662 837,83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505 078,29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103 348,00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103 348,00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90 956,00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2 842 320,85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2 842 320,85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2 823 471,85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42 639,94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42 639,94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31 894,68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300 163,85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300 163,85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255 139,27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2 836 597,98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2 836 597,98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3 322 144,22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584 984,46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2 844 744,28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312 813,58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2 531 930,70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326 391,23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2 107 810,53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58 308,35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2 049 502,18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2 306 371,48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598 028,28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15 454,83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4 937,93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10 516,90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3 155 484,00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3 155 484,00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2 600 034,00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3 082 178,60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3 067 678,60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1 424 135,36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2 365 488,60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2 350 988,60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322 219,58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322 219,58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241 584,69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2 118 034,60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543 875,02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1 574 159,58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3 710 426,46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3 710 426,46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2 782 559,85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21 579 526,40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42 639,94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21 536 886,46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1260"/>
        <w:gridCol w:w="1260"/>
        <w:gridCol w:w="1260"/>
        <w:gridCol w:w="1260"/>
        <w:gridCol w:w="1245"/>
        <w:gridCol w:w="1245"/>
        <w:gridCol w:w="1245"/>
        <w:gridCol w:w="1245"/>
        <w:gridCol w:w="1245"/>
        <w:gridCol w:w="1245"/>
        <w:gridCol w:w="12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-907,32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12 610,09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74 205,24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14 385,56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gwarancji.W 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spacing w:before="120" w:after="120" w:line="360" w:lineRule="auto"/>
        <w:ind w:left="1751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V/34/24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7935"/>
        <w:gridCol w:w="1830"/>
        <w:gridCol w:w="645"/>
        <w:gridCol w:w="645"/>
        <w:gridCol w:w="1665"/>
        <w:gridCol w:w="1665"/>
        <w:gridCol w:w="1665"/>
        <w:gridCol w:w="1665"/>
        <w:gridCol w:w="1665"/>
        <w:gridCol w:w="16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2024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26 262 561,00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2 118 034,60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21 579 526,40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16 297 289,63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543 875,02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42 639,94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25 676 046,04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1 574 159,58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21 536 886,46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15 710 774,67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4 619 161,00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866 094,60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3 753 066,40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4 619 161,00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543 875,02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42 639,94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Cyberbezpieczny samorząd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498 275,02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42 639,94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Doposażenie jednostek OSP z terenu gminy Suwałki w sprzęt ratowniczy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4 032 646,04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322 219,58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3 710 426,46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4 032 646,04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Cyberbezpieczny samorząd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40 000,03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Doposażenie jednostek OSP z terenu gminy Suwałki w sprzęt ratowniczy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3 862 646,01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282 219,55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3 580 426,46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3 862 646,01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 pkt 1.1 i 1.2), z tego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21 643 400,00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1 251 940,00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17 826 460,00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11 678 128,63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21 643 400,00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1 251 940,00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17 826 460,00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11 678 128,63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infrastruktury drogowej w msc. Nowa Wieś, gmina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2 104 525,00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42 720,00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2 061 805,00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67 000,87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infrastruktury drogowej w msc. Trzciane, gmina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2 155 825,00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37 720,00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2 118 105,00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Budowa i zagospodarowanie przestrzeni kulturalnej w Ośrodku Czytelnictwa i Kultury Gminy Suwałki - Budowa i zagospodarowanie przestrzeni kulturalnej w Ośrodku Czytelnictwa i Kultury Gminy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1 800 000,00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Renowacja zabytkowego zespołu Kościoła parafialnego pw. Matki Boskiej Częstochowskiej w Żylinach, Gmina Suwałki - Renowacja zabytkowego zespołu Kościoła parafialnego pw. Matki Boskiej Częstochowskiej w Żylinach, Gmina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1 122 500,00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242 500,00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1.3.2.5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stanu infrastruktury drogowej w gminie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4 835 000,00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615 000,00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2 095 000,00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293 835,74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 drogi gminnej nr 102035B w msc. Nowa Wieś,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5 053 600,00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5 023 600,00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5 038 600,00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1.3.2.7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nr 102011B Leszczewo - Leszczewek,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4 182 000,00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4 177 000,00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4 182 000,00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1.3.2.8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gminneju nr 102036B Lipniak - Polule,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49 200,00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1.3.2.9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 wewnętrznej w msc. Czerwony Folwark,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30 750,00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28 750,00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centrum integracji i aktywizacji dla osób starszych i niepełnosprawnych gminy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6 741,50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spacing w:before="120" w:after="120" w:line="360" w:lineRule="auto"/>
        <w:ind w:left="560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V/34/24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Wieloletniej Prognozy Finansowej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Suwałki na lata 2024-2027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na lata 2024-2027 w budżecie roku 2024 wprowadzono zmiany polegające na zaktualizowaniu planu dochodów i planu wydatków oraz wysokości planowanych przychodów.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budżet gminy na 2024 rok wyniósł: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po stronie planowanych dochodów 91 480 505,57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62 171 594,51 zł;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29 308 911,06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planowanych wydatków 105 677 526,61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60 509 098,33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45 168 428,28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do budżetu Gminy Suwałki w 2024 roku zostały przedstawione w tabeli poniżej: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970"/>
        <w:gridCol w:w="1778"/>
        <w:gridCol w:w="1572"/>
        <w:gridCol w:w="17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Pozycja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[1] Dochody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92 629 885,81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- 1 149 380,24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91 480 505,57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[1.1] Dochody bieżące (Db)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61 627 964,75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543 629,76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62 171 594,51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[1.1.4] Dotacje i środki na cele bieżące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9 038 808,48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380 137,83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9 418 946,31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[9.1.1] Dotacje i środki na cele bieżące na realizację programu, projektu lub zadania finansowanego z udziałem środków o których mowa w art.5 ust.1pkt 2 ustawy o  finansach publicznych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308 643,81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308 643,81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[1.2] Dochody majątkowe (Dm)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31 001 921,06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-1 693 010,00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29 308 911,06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[1.2.1] Dochody ze sprzedaży majątku (Dsm)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1 900 000,00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-1 693 010,00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206 990,00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[2] Wydatki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108 376 366,02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-2 698 839,41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105 677 526,61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[2.1] Wydatki bieżące (Wb)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60 969 484,78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-460 386,45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60 509 098,33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[9.3.1] Wydatki bieżące na programy, projekty lub zadania finansowane z udziałem środków o których mowa w art.5 ust.1 pkt 2 ustawy o finansach publicznych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340 535,81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322 302,02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662 837,83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[2.1.3] Wydatki na obsługę długu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83 717,00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83 717,00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[2.2] Wydatki majątkowe (Wm)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47 406 881,24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-2 238 452,96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45 168 428,28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[3] Deficyt/Nadwyżka budżetu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-15 746 480,21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1 549 459,17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-14 197 021,04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Db - Wb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658 479,97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1 004 016,21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1 662 496,18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Db_UE [9.1.1] - Wb_UE [9.3.1]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-31 892,00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-322 302,02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-354 194,02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Dm - Wm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-16 404 960,18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545 442,96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-15 859 517,22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[4] Przychody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16 530 480,21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-1 549 459,17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14 981 021,04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[4.2] Środki z art. 217 ust. 2 pkt 5 i 8 (Ndw)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15 746 480,21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-1 549 459,17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14 981 021,04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[4.3] Środki z art. 217 ust. 2 pkt 6 (Ws)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784 000,00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[5] Rozchody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784 000,00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784 000,00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do budżetu gminy na 2024 rok deficyt budżetu uległ zmianie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wyniósł 14 197 021,04 zł. Zaplanowano pokrycie deficytu budżetu roku 2024 przychodami pochodzącymi z: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14 096 319,66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przychodów pochodzących ze szczególnych zasad wykonywania budżetu określonych: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15 174,82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utrzymaniu czystości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1469)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85 526,56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w roku 2024 wynik operacyjny stanowiący różnicę pomiędzy dochodami bieżącym powiększonymi o przychody, a wydatkami bieżącymi w 2024 roku jest dodatni co oznacza, że została zachowana relacja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 Gmina posiada płynność finansową oraz możliwość realizacji zadań inwestycyjnych z własnych środków.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Główną zmianą w 2025 roku jest wprowadzenie do realizacji nowego zadania pn.: "Budowa drogi 102011B Leszczewo - Leszczewek, gm. Suwałki" o wartości 4 177 000,00 zł, które zostanie dofinansowane z Rządowego Funduszu Rozwoju Dróg w kwocie 1 562 160,00 zł. Przesunięto z 2024 roku na rok 2025 środki finansowe w kwocie 2 021 600,00 zł na realizację inwestycji drogowej pn.: "Rozbudowa drogi gminnej nr 102035B w msc. Nowa Wieś, gm. Suwałki". Uwzględniając planowane założenia na rok 2025 budżet Gminy Suwałki kształtuje się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71 098 006,16 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57 790 642,00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13 307 364,16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81 015 402,40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57 574 112,94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23 441 289,46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2025 wyniesie 9 917 396,24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9 917 396,24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2026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63 126 916,00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59 196 916,00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3 930 000,00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63 176 916,00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59 106 916,00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4 070 000,00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2026 wyniesie 50 000,00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50 000,00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2027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60 771 681,00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1 200 000,00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60 716 681,00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1 255 000,00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2027 nie planuje się deficytu.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wynik operacyjny stanowiący różnicę pomiędzy dochodami bieżącym, a wydatkami bieżącymi w latach 2024 - 2027 roku oznacza, że została zachowana relacja z art. 242 ustawy o finansach publicznych.</w:t>
      </w:r>
    </w:p>
    <w:sectPr>
      <w:footerReference w:type="default" r:id="rId8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999138D7-0B66-4388-BEB1-FACA686D78A9.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999138D7-0B66-4388-BEB1-FACA686D78A9.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999138D7-0B66-4388-BEB1-FACA686D78A9. Podpisany</w:t>
          </w:r>
        </w:p>
      </w:tc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999138D7-0B66-4388-BEB1-FACA686D78A9.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V/34/24 z dnia 30 września 2024 r.</dc:title>
  <dc:subject>w sprawie zmiany Wieloletniej Prognozy Finansowej Gminy Suwałki na lata 2024^– 2027</dc:subject>
  <dc:creator>hmarcinkiewicz1</dc:creator>
  <cp:lastModifiedBy>hmarcinkiewicz1</cp:lastModifiedBy>
  <cp:revision>1</cp:revision>
  <dcterms:created xsi:type="dcterms:W3CDTF">2024-10-02T10:15:20Z</dcterms:created>
  <dcterms:modified xsi:type="dcterms:W3CDTF">2024-10-02T10:15:20Z</dcterms:modified>
  <cp:category>Akt prawny</cp:category>
</cp:coreProperties>
</file>