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V/35/24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„d”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U.z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1407,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1429,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1641,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1693,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1872,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232, poz.834,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610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265,08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759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645,32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821,00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660,41 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dochodów 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505,57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594,51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911,06 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wydatków 105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526,61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098,33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168 428,28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rezerwy po dokonanych zmianach wynoszą: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ogólna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zarządzania kryzysowego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oświaty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własnych zadań inwestycyjnych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Deficyt budżetu w wysokości 14 197 021,04 zł, który zostanie pokryty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nadwyżki budżetowej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ubiegłych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096 319,66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przychodów pochodzących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 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wychowaniu w trzeźwości i przeciwdziałaniu alkoholizmowi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174,82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1469)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526,56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Łączna kwota przychodów budżetu wynosi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981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021,04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łączna kwota rozchodów budżetu  wynosi 784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wpływów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kar określonych ustawą - Prawo ochrony środowiska, które przeznacza się na finansowanie ochrony środowiska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klasyfikacji budżetowej dz. 010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01043, dz.010 rozdz. 01044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90001,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977 026,00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za gospodarowanie odpadami komunalnymi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664,00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pokrycie kosztów systemu gospodarowania odpadami komunalnymi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18 244,68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dodatkowej opłaty za wydawanie zezwoleń na sprzedaż napojów alkoholowych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opakowaniach nieprzekraczających 300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ml oraz 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091,87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działania mające na celu realizację lokalnej międzysektorowej polityki przeciwdziałania negatywnym skutkom spożywania 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 wydatków na zadania inwestycyjne realizowane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Zestawienie planowanych kwot dotacji celowych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Zestawienie planowanych kwot dotacji celowych dla jednostek spoza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 wydatków na programy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projekty realizowane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unii europejskiej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stanowi załącznik nr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„Przychody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rozchody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IV/25/24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 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„Limity wydatków na zadania inwestycyjne do realizacji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2024”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Uchwały Nr IV/25/24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 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„Dotacje celowe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IV/25/24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 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„Dotacje celowe dla jednostek spoza sektora finansów publicznych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 Nr IV/25/24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 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„Plan wydatków na programy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projekty realizowane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unii europejskiej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IV/25/24 Rady Gminy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 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5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75"/>
        <w:gridCol w:w="1425"/>
        <w:gridCol w:w="1365"/>
        <w:gridCol w:w="5145"/>
        <w:gridCol w:w="1830"/>
        <w:gridCol w:w="1830"/>
        <w:gridCol w:w="18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§ 1. Zwiększenie planowanych dochodów w budżecie o kwotę 610 265,08 zł, zmniejszenie planowanych dochodów w budżecie o kwotę 1 759 645,32 zł, 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1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związane z realizacją zadań wykonywanych na mocy porozumień z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1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562 171,00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562 189,00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62 171,00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Górnictwo i kopalnictwo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4 234 831,00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100 467,00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4 335 298,00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4 234 831,00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100 467,00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4 335 298,00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4 179 500,00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100 300,00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4 279 800,00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55 315,00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55 482,00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710 220,00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710 340,00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710 220,00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710 340,00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10 379 099,00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5 292,00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10 384 391,00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10 316 887,00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10 322 179,00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2 247,00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4 042,00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4 042,00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4 042,00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2 010 928,52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-1 693 010,00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317 918,52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2 010 582,52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-1 693 010,00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317 572,52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-1 693 010,00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206 990,00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35 400,00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6 018,00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2 362,00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3 126,00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2 084,00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2 862,00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2 185,00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31 713 480,75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93 001,93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31 806 482,68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13 122 165,00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59 036,00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13 181 201,00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8 549,00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44 851,00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53 400,00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2680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Rekompensaty utraconych dochodów w podatkach i opłatach lokalnych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63 150,00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14 153,00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77 303,00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6 483 440,75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39 721,25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6 523 162,00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miejscowej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567 029,75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37 970,25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24 251,00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24 752,00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169 029,00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-5 755,32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163 273,68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-5 755,32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18 244,68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11 395 178,00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21 980,00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11 417 158,00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1 167 189,00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21 980,00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1 189 169,00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167 189,00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21 980,00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189 169,00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7 043 033,81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7 093 033,81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5 288 114,00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4 977,00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5 293 091,00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88 376,00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89 152,00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175 424,00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-8 150,00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167 274,00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26 842,00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12 153,00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38 995,00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2 370,00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391 972,00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-1 934,00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390 038,00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57 204,00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-1 934,00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55 270,00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690 666,00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-3 043,00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687 623,00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177 065,00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-3 043,00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174 022,00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637 457,81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687 457,81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789 026,64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-12 152,00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776 874,64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29 252,00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-16 652,00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29 252,00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-16 652,00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187 930,64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192 430,64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60 407,00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60 548,00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60 407,00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60 548,00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106 260,00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15 350,00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7 180,20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7 180,20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7 180,20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7 180,20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7 180,20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3 702 085,15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3 702 285,15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583 208,00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583 258,00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2 053 068,00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2 053 218,00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85 698 075,54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-1 410 357,87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84 287 717,67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01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66 296,27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78,83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66 375,10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358,27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78,83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358,27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78,83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1 156 126,00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197 030,00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1 353 156,00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1 156 126,00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197 030,00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1 353 156,00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1 156 126,00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197 030,00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1 353 156,00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1 624 231,57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59 596,80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1 683 828,37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1 410 988,92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59 596,80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1 470 585,72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1 410 988,92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59 596,80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1 470 585,72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3 121 834,00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4 272,00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3 126 106,00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6 887 810,27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260 977,63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7 148 787,90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92 629 885,81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+610 265,08</w:t>
            </w:r>
          </w:p>
          <w:p>
            <w:pPr>
              <w:jc w:val="right"/>
            </w:pPr>
            <w:r>
              <w:rPr>
                <w:b/>
                <w:sz w:val="16"/>
              </w:rPr>
              <w:t>-1 759 645,32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91 480 505,57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40"/>
        <w:gridCol w:w="1500"/>
        <w:gridCol w:w="1860"/>
        <w:gridCol w:w="1725"/>
        <w:gridCol w:w="2040"/>
        <w:gridCol w:w="1815"/>
        <w:gridCol w:w="1860"/>
        <w:gridCol w:w="24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01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dochodów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Plan dochodów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rok</w:t>
            </w:r>
          </w:p>
        </w:tc>
        <w:tc>
          <w:tcPr>
            <w:tcW w:w="13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8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0760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</w:t>
            </w:r>
          </w:p>
          <w:p>
            <w:pPr>
              <w:jc w:val="center"/>
            </w:pPr>
            <w:r>
              <w:rPr>
                <w:sz w:val="18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0780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0800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8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z 6....</w:t>
            </w:r>
          </w:p>
          <w:p>
            <w:pPr>
              <w:jc w:val="center"/>
            </w:pPr>
            <w:r>
              <w:rPr>
                <w:b/>
                <w:sz w:val="18"/>
              </w:rPr>
              <w:t>bez 666…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bieżące</w:t>
            </w:r>
          </w:p>
          <w:p>
            <w:pPr>
              <w:jc w:val="center"/>
            </w:pPr>
            <w:r>
              <w:rPr>
                <w:sz w:val="18"/>
              </w:rPr>
              <w:t>na programy finansowane</w:t>
            </w:r>
          </w:p>
          <w:p>
            <w:pPr>
              <w:jc w:val="center"/>
            </w:pPr>
            <w:r>
              <w:rPr>
                <w:sz w:val="18"/>
              </w:rPr>
              <w:t>z udziałem środków,</w:t>
            </w:r>
          </w:p>
          <w:p>
            <w:pPr>
              <w:jc w:val="center"/>
            </w:pPr>
            <w:r>
              <w:rPr>
                <w:sz w:val="18"/>
              </w:rPr>
              <w:t>o których mowa</w:t>
            </w:r>
          </w:p>
          <w:p>
            <w:pPr>
              <w:jc w:val="center"/>
            </w:pPr>
            <w:r>
              <w:rPr>
                <w:sz w:val="18"/>
              </w:rPr>
              <w:t>w art. 5 ust.1 pkt 2 i 3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91 480 505,57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62 171 594,51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308 643,81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29 308 911,06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3 908,00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206 990,00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29 098 013,06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547 338,06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5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wydatków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65"/>
        <w:gridCol w:w="1140"/>
        <w:gridCol w:w="1245"/>
        <w:gridCol w:w="5775"/>
        <w:gridCol w:w="1800"/>
        <w:gridCol w:w="1605"/>
        <w:gridCol w:w="17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3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§ 1. Zwiększenie planowanych wydatków w budżecie o kwotę 1 394 821,00 zł, zmniejszenie planowanych wydatków w budżecie o kwotę 4 093 660,41 zł, w tym: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3 256 421,66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-91 950,00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3 164 471,66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1 180 000,00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-91 950,00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1 088 050,00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1 180 000,00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-91 950,00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1 088 050,00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2 046 000,00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2 022 500,00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Wczesne wspomaganie rozwoju dziecka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785 673,45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-5 673,45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785 673,45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-5 673,45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785 673,45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-5 673,45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6 104 095,11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-101 723,45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6 002 371,66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1 721 718,00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-500 538,00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1 221 180,00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1 020 538,00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-80 538,00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60 538,00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-60 538,00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745 032,00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765 032,00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745 032,00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765 032,00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26 363 245,34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-1 750 524,00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24 612 721,34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25 992 799,34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-1 780 524,00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24 212 275,34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444 378,34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-48 350,00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396 028,34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13 557 845,00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-1 732 174,00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11 825 671,00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165 873,00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-5 534,52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160 338,48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165 873,00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-5 534,52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160 338,48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-5 534,52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40 465,48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2 269 650,00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-966 000,00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1 303 650,00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2 181 750,00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-966 000,00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1 215 750,00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167 870,00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157 870,00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4580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odsetki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Kary, odszkodowania i grzywny wypłacane na rzecz osób prawnych i innych jednostek organizacyjnych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658 000,00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-658 000,00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234 035,00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230 035,00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4580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odsetki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480 323,00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83 302,06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563 625,06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480 323,00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83 302,06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563 625,06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196 182,18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226 102,18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66 092,84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76 172,84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71 788,00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38 168,00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109 956,00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24 185,00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12 859,00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37 044,00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4707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6 732,00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4709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Szkolenia pracowników niebędących członkami korpusu służby cywilnej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2 268,00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12 348,00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208 691,99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-178 771,97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29 920,02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70 308,00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-60 227,99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10 080,01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11 285 335,43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20 218,52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11 305 553,95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9 080 027,00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9 092 627,00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312 651,00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8 660,00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321 311,00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155 766,00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158 366,00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-17 725,00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52 275,00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19 065,00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64 065,00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266 160,00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5 534,52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271 694,52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-6 900,63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9 099,37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200 800,00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13 595,15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214 395,15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1 200 841,00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1 202 925,00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816 252,00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818 336,00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19 950,00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20 554,00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6 678,00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951 343,55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-4 219,00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947 124,55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921 938,55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-4 219,00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917 719,55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32 140,00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-4 219,00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25 137 397,44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19 980,00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25 157 377,44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15 586 297,00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-3 448,00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15 582 849,00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17 451,00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-2 014,00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15 437,00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659 996,00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-4 109,00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655 887,00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453 276,00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-4 042,00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449 234,00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335 189,00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6 717,00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341 906,00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2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1 581 778,00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-3 862,00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1 577 916,00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9 904,00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49 014,00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47 764,00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71 953,00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42 851,00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1 638,00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44 489,00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1 736 054,00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-6 752,00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1 729 302,00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41 941,00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38 941,00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46 405,00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42 405,00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62 093,00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62 341,00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772 478,00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774 015,00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5 068,00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474 336,00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1 025,00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475 361,00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20 145,00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19 917,00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76 519,00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77 828,00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14 520,00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14 464,00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1 685 946,00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-1 025,00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1 684 921,00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185 117,00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-3 245,00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181 872,00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52 156,00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1 263 939,44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32 505,00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1 296 444,44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8 760,00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-480,00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34 611,55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32 611,55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1 945,45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1 950,45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43 509,41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50 669,41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158 964,50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169 964,50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51 062,87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54 882,87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179 323,82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-5 755,32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173 568,50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120 323,82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-5 755,32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114 568,50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6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41 996,19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-3 755,32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38 240,87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6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-2 775,00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2 775,00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3 344 522,32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-41 954,00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3 302 568,32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1 444 663,56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-3 454,00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1 441 209,56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65 764,00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-4 954,00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60 810,00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159 628,00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156 128,00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132 428,00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128 928,00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176 197,00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141 197,00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4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162 834,00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163 834,00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121 260,00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122 260,00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96 260,00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443 330,36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14 134,20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457 464,56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171 018,28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-946,00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170 072,28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12 411,00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-946,00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112 012,08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13 080,20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125 092,28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82 151,00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93 751,00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5 758,00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-324,00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5 434,00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15 138,00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1 533,20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16 671,20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2 154,00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5 261 206,00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245 700,00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5 506 906,00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1 665 412,00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1 802 412,00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97 670,00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117 670,00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298 248,00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358 248,00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790 540,00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890 540,00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452 510,00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507 110,00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73 118,50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103 118,50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3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1 019 000,00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8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563 620,00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-71 900,00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491 720,00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-12 800,00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347 200,00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-1 750,00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112 000,00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14 714 530,38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16 096,47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14 730 626,85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7 571 040,00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7 591 040,00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-3 903,53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Nagrody o charakterze szczególnym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-403,53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131 840,00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131 840,00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91 840,00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91 840,00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56 040,00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95 342 312,64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-2 858 093,59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92 484 219,05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1"/>
        </w:trPr>
        <w:tc>
          <w:tcPr>
            <w:tcW w:w="2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2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z zakresu administracji rządowej i innych zleconych jednostce samorządu terytorialnego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66 296,27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78,83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66 375,10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358,27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78,83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302,29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66,56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55,98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12,27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1 156 616,00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197 030,00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1 353 646,00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1 156 616,00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197 030,00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1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1 083 902,00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197 030,00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1 280 932,00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1 624 231,57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59 596,80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1 683 828,37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1 410 988,92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59 596,80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1 470 585,72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1 410 988,92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59 596,80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1 470 585,72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3 121 834,00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4 272,00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3 126 106,00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429,53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60,17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73,95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10,36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84,31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10,52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1,47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9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3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6 885 958,27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260 977,63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7 146 935,90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ogółem: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108 376 366,02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+1 394 821,00</w:t>
            </w:r>
          </w:p>
          <w:p>
            <w:pPr>
              <w:jc w:val="right"/>
            </w:pPr>
            <w:r>
              <w:rPr>
                <w:b/>
                <w:sz w:val="18"/>
              </w:rPr>
              <w:t>-4 093 660,41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105 677 526,61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990"/>
        <w:gridCol w:w="1110"/>
        <w:gridCol w:w="1155"/>
        <w:gridCol w:w="1095"/>
        <w:gridCol w:w="975"/>
        <w:gridCol w:w="1005"/>
        <w:gridCol w:w="1020"/>
        <w:gridCol w:w="870"/>
        <w:gridCol w:w="825"/>
        <w:gridCol w:w="1035"/>
        <w:gridCol w:w="1005"/>
        <w:gridCol w:w="1065"/>
        <w:gridCol w:w="810"/>
        <w:gridCol w:w="9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501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wydatków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Plan wydatków na 2024 rok</w:t>
            </w:r>
          </w:p>
        </w:tc>
        <w:tc>
          <w:tcPr>
            <w:tcW w:w="139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Wydatki bieżące</w:t>
            </w:r>
          </w:p>
        </w:tc>
        <w:tc>
          <w:tcPr>
            <w:tcW w:w="805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3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0"/>
        </w:trPr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 tego: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na zadania bieżące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świadczenia na rzecz osób fizycznych;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wypłaty z tytułu poręczeń i gwarancji 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obsługa długu</w:t>
            </w: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inwestycje i zakupy inwestycyjne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zakup i objęcie akcji i udziałów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wynagrodzenia i składki od nich naliczane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związane z realizacją ich statutowych zadań;</w:t>
            </w: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na programy finansowane z udziałem środków, o których mowa w art. 5 ust. 1 pkt 2 i 3,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105 677 526,61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60 509 098,33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46 650 893,45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24 902 140,38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21 748 753,07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7 977 155,55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5 134 494,50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662 837,83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83 717,00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45 168 428,28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45 168 428,28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322 219,58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5115"/>
        <w:gridCol w:w="1710"/>
        <w:gridCol w:w="18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Kwota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14 981 021,04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14 197 021,04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Przychody z niewykorzystanych środków pieniężnych na rachunku bieżącym budżetu, wynikających z rozliczenia dochodów i wydatków nimi sfinansowanych związanych ze szczególnymi zasadami wykonywania budżetu określonymi  w odrębnych ustawach, w tym:</w:t>
            </w:r>
          </w:p>
          <w:p>
            <w:pPr>
              <w:jc w:val="left"/>
            </w:pPr>
            <w:r>
              <w:rPr>
                <w:sz w:val="18"/>
              </w:rPr>
              <w:t>a)  przychody na podstawie ustawy z dnia 26 października 1982 r. o wychowaniu  w trzeźwości i przeciwdziałaniu alkoholizmowi (Dz.U. z 2023 r. poz. 2151) w kwocie 15 174,82 zł;</w:t>
            </w:r>
          </w:p>
          <w:p>
            <w:pPr>
              <w:jc w:val="left"/>
            </w:pPr>
            <w:r>
              <w:rPr>
                <w:sz w:val="18"/>
              </w:rPr>
              <w:t>b) przychody na podstawie ustawy z dnia 13 września 1996 r. o utrzymaniu czystości i porządku w gminach (Dz.U. z 2023 r. poz. 1460) w kwocie 85 526,56 zł.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100 701,38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Wolne środki, o których mowa w art. 217 ust.2 pkt 6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Spłaty kredytów i pożyczek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Limity wydatków na zadania inwestycyjne do realizacji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1"/>
        <w:gridCol w:w="1260"/>
        <w:gridCol w:w="2941"/>
        <w:gridCol w:w="1380"/>
        <w:gridCol w:w="1275"/>
        <w:gridCol w:w="1365"/>
        <w:gridCol w:w="1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 budżetowa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Nazwa zadania inwestycyjnego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po zmianie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01043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studni głębinowej na potrzeby SUW Turówka Stara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-450 000,00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Wykup infrastruktury wodociągowej zlokalizowanej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+120 000,00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01044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przepompowni ścieków w gminie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01044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sieci kanalizacji sanitarnej w msc. Piertanie i msc. Tartak, gmina Suwałki- Etap 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Utworzenie miejsca integracji w Okuniowcu,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wiaty rekreacyjnej w msc. Krzywe 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1 550 000,00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-340 000,00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1 210 000,00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w msc. Krzywe wraz z ciągiem pieszo-rowerowym i infrastrukturą towarzyszącą (2023-2024) – dofin. z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2 766 000,00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2 766 000,00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gminnej w msc. Gawrych Ruda (2023-2024) - dofin.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Nowa Wieś,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42 720,00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42 720,00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0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Trzciane,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37 720,00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37 720,00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166512B Zielone Kamedulskie do ul. Zastawie (Miasto Suwałki)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735 000,00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-21 624,00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166500B do msc. Wychodne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953 600,00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+30 000,00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9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102004B przez wieś Dubowo Drugie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-22 000,00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834 000,00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gminnej nr 102031B w Gawrych Ruda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gminnej nr 102016B i drogi wewnętrznej w msc. Okuniowiec, w tym budowa drogi dla pieszych wzdłuż drogi nr 102016B i drogi wewnętrznej przez wieś Okuniowiec – 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1 531 000,00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+50 000,00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dla pieszych i dla rowerów wzdłuż drogi gminnej wewnętrznej w msc. Stary Folwark –dofin.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102013B oraz przebudowa drogi wewnętrznej w msc. Taciewo, gm. Suwałki (2024-2025)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2 870 000,00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+100 000,00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studni chłonnych we wsi Sobolewo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studni chłonnych we wsi Płociczno-Tartak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-100 000,00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od drogi gminnej Nr 102015B z nawierzchni żwirowej na nawierzchnię utwardzoną w msc. Osinki gm. Suwałki.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 ciągu drogi gminnej nr 102030B w msc. Płociczno - Osiedle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6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miejscowościach turystycznych gminy Suwałki – dofin. z 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6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gminie Suwałki (2024-2025)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+355 000,00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102035B w msc. Nowa Wieś,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2 051 600,00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-2 021 600,00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wewnętrznej w msc. Czerwony Folwark,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30 750,00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-28 750,00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nr 102036B Lipniak-Polule,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49 200,00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-47 200,00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i rozbudowa dróg gminnych wraz z niezbędną infrastrukturą techniczną w obrębie ewidencyjnym Płociczno-Tartak- Etap III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-30 000,00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nr 102011B Leszczewo-Leszczewek,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60020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wraz z montażem wiat przystankowych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21 987 490,00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-1 732 174,00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20 255 316,00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Nabywanie nieruchomości z mocy prawa na rzecz gminy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901 000,00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Wykup nieruchomości pod infrastrukturę gminy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1 007 000,00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-40 000,00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967 000,00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720</w:t>
            </w:r>
          </w:p>
          <w:p>
            <w:pPr>
              <w:jc w:val="center"/>
            </w:pPr>
            <w:r>
              <w:rPr>
                <w:sz w:val="18"/>
              </w:rPr>
              <w:t>72095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Realizacja projektu „Cyberbezpieczny samorząd” – dofin. z UE i budżetu państwa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278 999,99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-238 999,96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40 000,03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278 999,99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-238 999,96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40 000,03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Trzeci etap rozbudowy istniejącej instalacji klimatyzacji w pomieszczeniach biurowych w budynku na parterze Urzędu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-17 725,00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komputerowego systemu FIRMA w zakresie rozliczeń wodno-ściekowych (zestaw WODA)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Zakup maszyny szorująco-zbierającej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+19 065,00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+1 340,00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116 340,00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Dokumentacja na rozbudowę wraz z przebudową budynku OSP Potasznia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32 140,00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-4 219,00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4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bezzałogowych statków powietrznych, sonarów podwodnych, dronów podwodnych w ramach projektu „Doposażenie jednostek OSP z terenu gminy Suwałki w sprzęt ratowniczy”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314 359,55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-4 219,00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5 680 500,00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5 680 500,00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6 330 500,00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6 330 500,00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852</w:t>
            </w:r>
          </w:p>
          <w:p>
            <w:pPr>
              <w:jc w:val="center"/>
            </w:pPr>
            <w:r>
              <w:rPr>
                <w:sz w:val="18"/>
              </w:rPr>
              <w:t>85295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centrum integracji i aktywizacji dla osób starszych i niepełnosprawnych gminy Suwałki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-35 000,00   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-35 000,00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4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853</w:t>
            </w:r>
          </w:p>
          <w:p>
            <w:pPr>
              <w:jc w:val="center"/>
            </w:pPr>
            <w:r>
              <w:rPr>
                <w:sz w:val="18"/>
              </w:rPr>
              <w:t>85395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budynku gospodarczego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Odtworzenie zasobów wodnych w msc. Osinki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7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kanalizacji deszczowej z zagospodarowaniem wód opadowych do studni chłonnych wraz ze zmiana nawierzchni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4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900 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urządzenia wysokociśnieniowego do czyszczenia kanalizacji sanitarnej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Zagospodarowanie terenu zieleni nad Czarną Hańczą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instalacji OZE na budynkach użyteczności publicznej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+24 600,00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Uzupełnienie oświetlenia ulicznego mającego na celu podwieszenie na istniejących słupach opraw oświetleniowych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+130 000,00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oświetlenia w msc. Bród Mały, obręb Bród Nowy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-4 000,00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oświetlenia wzdłuż drogi gminnej nr 102035B w msc. Nowa Wieś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441 346,00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150 600,00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591 946,00</w:t>
            </w:r>
          </w:p>
          <w:p/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Ośrodka Czytelnictwa i Kultury Gminy Suwałki w m. Płociczno-Osiedle – dofin.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8 295 000,00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8 295 000,00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i zagospodarowanie przestrzeni kulturalnej w Ośrodku Czytelnictwa i Kultury Gminy Suwałki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8 495 000,00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8 495 000,00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7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 LIMIT WYDATKÓW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40 638 695,54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-2 420 392,96</w:t>
            </w:r>
          </w:p>
          <w:p>
            <w:pPr>
              <w:jc w:val="right"/>
            </w:pPr>
            <w:r>
              <w:rPr>
                <w:b/>
                <w:sz w:val="18"/>
              </w:rPr>
              <w:t>+181 940,00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38 400 242,58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dla jednostek sektora finansów publicznych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1185"/>
        <w:gridCol w:w="780"/>
        <w:gridCol w:w="2790"/>
        <w:gridCol w:w="1200"/>
        <w:gridCol w:w="1185"/>
        <w:gridCol w:w="1185"/>
        <w:gridCol w:w="12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 dotowany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Rozdział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§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3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dotacji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lokalną komunikację zbiorową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-91 950,00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1 088 050,00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„Remont odcinka drogi powiatowej nr 1147B od drogi 653 – Białe – Niemcowizna – Bakaniuk – Józefowo”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324 475,35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„Przebudowa odcinka drogi powiatowej nr 1153B Suwałki – Okuniowiec – Kaletnik – Wiatrołuża – Zaboryszki”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„Wykonanie dokumentacji projektowej rozbudowy z przebudową drogi powiatowej nr 1172B Wigry – Burdeniszki – do drogi 1171B w km 0+056-1+486”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„Budowa drogi dla pieszych w ciągu drogi powiatowej nr 1117B”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81 946,31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-91 950,00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3 164 471,66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Komenda Wojewódzka Państwowej Straży Pożarnej w Białymstoku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  <w:p>
            <w:pPr>
              <w:jc w:val="center"/>
            </w:pPr>
            <w:r>
              <w:rPr>
                <w:sz w:val="16"/>
              </w:rPr>
              <w:t>75410</w:t>
            </w:r>
          </w:p>
          <w:p>
            <w:pPr>
              <w:jc w:val="center"/>
            </w:pPr>
            <w:r>
              <w:rPr>
                <w:sz w:val="16"/>
              </w:rPr>
              <w:t xml:space="preserve"> 2300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Komendy Miejskiej Państwowej Straży Pożarnej w Suwałkach w związku z realizacją zadania pn.”Zakup wyposażenia do Jednostki Ratowniczo-Gaśniczej”.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1 603 000,00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z terenu Gminy Suwałki w oddziałach przedszkolnych w szkołach podstawowych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przedszkolach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pobyt  dzieci  z terenu Gminy Suwałki w świetlicach szkolnych przy 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166 000,00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  <w:p>
            <w:pPr>
              <w:jc w:val="center"/>
            </w:pPr>
            <w:r>
              <w:rPr>
                <w:sz w:val="16"/>
              </w:rPr>
              <w:t>80113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zapewnienie dowozu dzieci z terenu Gminy Suwałki do szkół komunikacją zbiorową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-23 500,00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-23 500,00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2 022 500,00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Specjalistyczny Psychiatryczny samodzielny Zakład Opieki Zdrowotnej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85153</w:t>
            </w:r>
          </w:p>
          <w:p>
            <w:pPr>
              <w:jc w:val="center"/>
            </w:pPr>
            <w:r>
              <w:rPr>
                <w:sz w:val="16"/>
              </w:rPr>
              <w:t>2800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testów diagnostycznych moczowych do wykrywania narkotyków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Szpital Wojewódzki im. dr L. Rydygiera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85195</w:t>
            </w:r>
          </w:p>
          <w:p>
            <w:pPr>
              <w:jc w:val="center"/>
            </w:pPr>
            <w:r>
              <w:rPr>
                <w:sz w:val="16"/>
              </w:rPr>
              <w:t>6220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głowicy do ultrasonografu (USG)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  <w:p>
            <w:pPr>
              <w:jc w:val="center"/>
            </w:pPr>
            <w:r>
              <w:rPr>
                <w:sz w:val="16"/>
              </w:rPr>
              <w:t>85404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zajęć wczesnego wspomagania rozwoju dziecka z terenu Gminy Suwałki w jednostce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+8 000,00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+8 000,00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</w:t>
            </w:r>
          </w:p>
          <w:p>
            <w:pPr>
              <w:jc w:val="center"/>
            </w:pPr>
            <w:r>
              <w:rPr>
                <w:sz w:val="16"/>
              </w:rPr>
              <w:t>85516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wykonanie zadania publicznego w zakresie opieki nad dziećmi w wieku do 3 lat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+11 400,00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zagospodarowanie odpadów komunalnych z terenu Gminy Suwałki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-5 673,45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-5 673,45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780 000,00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Ośrodek Czytelnictwa</w:t>
            </w:r>
          </w:p>
          <w:p>
            <w:pPr>
              <w:jc w:val="center"/>
            </w:pPr>
            <w:r>
              <w:rPr>
                <w:sz w:val="14"/>
              </w:rPr>
              <w:t>i Kultury Gminy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92109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podmiotowa z budżetu  na działalność statutową dla samorządowej instytucji kultury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1 177 290,00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92116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563 001,00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1 740 291,00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plan dotacji: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-121 123,45</w:t>
            </w:r>
          </w:p>
          <w:p>
            <w:pPr>
              <w:jc w:val="right"/>
            </w:pPr>
            <w:r>
              <w:rPr>
                <w:b/>
                <w:sz w:val="16"/>
              </w:rPr>
              <w:t>+19 400,00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6 028 371,66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1 740 291,00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dla jednostek spoza sektora finansów publicznych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70"/>
        <w:gridCol w:w="3540"/>
        <w:gridCol w:w="1170"/>
        <w:gridCol w:w="1290"/>
        <w:gridCol w:w="1200"/>
        <w:gridCol w:w="14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6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Tabela nr 1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dla jednostek spoza sektora finansów publicznych finansowane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dochodów związanych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 realizacją zadań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innych zleconych jednostce samorządu terytorialnego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odrębnymi ustawami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2024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§</w:t>
            </w:r>
          </w:p>
        </w:tc>
        <w:tc>
          <w:tcPr>
            <w:tcW w:w="3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Plan dotacji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Celowa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 xml:space="preserve">Podmiotowa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2830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wyrównanie straty z tytułu utraconych przychodów w związku ze stosowaniem ustawowych uprawnień do ulgowych przejazdów w publicznym transporcie zbiorowym, operatorowi przysługuje rekompensata w części, o której mowa w art. 50 ust. 1 pkt 2 lit. 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10 463,00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9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2820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Prowadzenie i utrzymanie Środowiskowego Domu Samopomocy w budynku położonym na terenie Gminy Suwałki w Białej Wodzie dla podopiecznych zamieszkałych na terenie Gminy Suwałki oraz na terenie gmin z powiatu suwalskiego, augustowskiego i sejneńskiego, w ramach którego będą świadczone usługi w ramach indywidualnych lub zespołowych treningów samoobsługi i treningów umiejętności w zakresie czynności dnia codziennego i funkcjonowania w życiu społecznym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+59 596,80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1 470 585,72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 plan dotacji: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+59 596,80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1 481 048,72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900"/>
        <w:gridCol w:w="3420"/>
        <w:gridCol w:w="1380"/>
        <w:gridCol w:w="1200"/>
        <w:gridCol w:w="1230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Tabela nr 2</w:t>
            </w:r>
          </w:p>
          <w:p>
            <w:pPr>
              <w:jc w:val="center"/>
            </w:pPr>
            <w:r>
              <w:rPr>
                <w:b/>
                <w:sz w:val="18"/>
              </w:rPr>
              <w:t>Dotacje celowe dla jednostek spoza sektora finansów publicznych finansowane z dochodów własnych</w:t>
            </w:r>
          </w:p>
          <w:p>
            <w:pPr>
              <w:jc w:val="center"/>
            </w:pPr>
            <w:r>
              <w:rPr>
                <w:b/>
                <w:sz w:val="18"/>
              </w:rPr>
              <w:t>w 2024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Rozdział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§</w:t>
            </w:r>
          </w:p>
        </w:tc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 xml:space="preserve">Plan dotacji na 2024 rok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Celowa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 xml:space="preserve">Podmiotowa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400</w:t>
            </w:r>
          </w:p>
          <w:p>
            <w:pPr>
              <w:jc w:val="center"/>
            </w:pPr>
            <w:r>
              <w:rPr>
                <w:sz w:val="18"/>
              </w:rPr>
              <w:t>40002</w:t>
            </w:r>
          </w:p>
          <w:p>
            <w:pPr>
              <w:jc w:val="center"/>
            </w:pPr>
            <w:r>
              <w:rPr>
                <w:sz w:val="18"/>
              </w:rPr>
              <w:t>6230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dofinansowanie budowy studni głębinowych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63095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zapewnienie bezpieczeństwa nad wodami na terenie Gminy Suwałki poprzez działalność patrolową i ratowniczą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31 000,00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63095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remont infrastruktury turystycznej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-1 534,52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3 465,48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630</w:t>
            </w:r>
          </w:p>
          <w:p>
            <w:pPr>
              <w:jc w:val="center"/>
            </w:pPr>
            <w:r>
              <w:rPr>
                <w:sz w:val="18"/>
              </w:rPr>
              <w:t>63095</w:t>
            </w:r>
          </w:p>
          <w:p>
            <w:pPr>
              <w:jc w:val="center"/>
            </w:pPr>
            <w:r>
              <w:rPr>
                <w:sz w:val="18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organizację imprez z zakresu turystyki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-4 000,00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-5 534,52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40 465,48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2820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Dotacja dla Ochotniczej Straży Pożarnej w Płocicznie  na zakup defibrylatora AED z szafką do przechowywania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5 500,00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6230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Na zakupy inwestycyjne dla Ochotniczych Straży Pożarnych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22 500,00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28 000,00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finansowanie zadań związanych z przeciwdziałaniem uzależnieniom i patologiom społecznym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finansowanie realizacji lokalnej między sektorowej polityki przeciwdziałania negatywnym skutkom spożywania alkoholu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85195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 zadania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promocją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ochroną zdrowia,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tym: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tworzenie grup wsparcia zdrowia psychicznego, wsparcie rozwoju osób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niepełnosprawnością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terenu gminy Suwałki poprzez zajęcia, rewalidacyjno-wychowawcze, wsparcie działań mających na celu pomoc rodzinom będącym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trudnej sytuacji życiowej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-2 775,00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16 225,00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851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-2 775,00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56 225,00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6230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 zadnie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ochrony środowiska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gospodarki wodnej: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na dofinansowanie dla osób fizycznych budowy przydomowych oczyszczalni ścieków na terenie Gminy Suwałki,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na dofinansowanie dla osób fizycznych budowy przyłączy kanalizacyjnych na terenie Gminy Suwałki,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na dofinansowanie dla osób fizycznych budowy przyłączy kanalizacyjnych wraz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indywidualnymi przepompowniami ścieków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6230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Na zadnia z zakresu ochrony środowiska i gospodarki wodnej: </w:t>
            </w:r>
          </w:p>
          <w:p>
            <w:pPr>
              <w:jc w:val="left"/>
            </w:pPr>
            <w:r>
              <w:rPr>
                <w:sz w:val="18"/>
              </w:rPr>
              <w:t>- na dofinansowanie dla osób fizycznych zmiany systemu ogrzewania na ogrzewanie proekologiczne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114 000,00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6230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zadnia z zakresu ochrony środowiska i gospodarki wodnej:</w:t>
            </w:r>
          </w:p>
          <w:p>
            <w:pPr>
              <w:jc w:val="left"/>
            </w:pPr>
            <w:r>
              <w:rPr>
                <w:sz w:val="18"/>
              </w:rPr>
              <w:t>- na dofinansowanie dla osób fizycznych odnawialnych źródeł energii (panele fotowoltaiczne, kolektory słoneczne)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90095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zapobieganie bezdomności zwierząt i zapewnienie opieki bezdomnym zwierzętom poprzez prowadzenie schroniska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-12 800,00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347 200,00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-12 800,00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731 200,00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92120</w:t>
            </w:r>
          </w:p>
          <w:p>
            <w:pPr>
              <w:jc w:val="center"/>
            </w:pPr>
            <w:r>
              <w:rPr>
                <w:sz w:val="18"/>
              </w:rPr>
              <w:t>6570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Na sfinansowanie prac konserwatorskich, restauratorskich lub robót budowlanych przy zabytku wpisanym do rejestru, znajdującym się na terenie gminy, w tym: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4 429 739,38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 xml:space="preserve">- na renowacje zabytkowego drewnianego kościoła parafialnego pw. Matki Boskiej Częstochowskiej w Żylinach, gmina Suwałki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242 500,00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- na roboty budowlane eremu tarasu dolnego(nr1) wraz z murem oporowym od strony południowej Zespołu Pokamedulskiego w Wigrach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3 664 239,38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- na wymianę dachu  Domu Furtiana Zespołu Pokamedulskiego w Wigrach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400 000,00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- na zabezpieczenie i etap I rewitalizacji schroniska nr 1 PTTK w Starym Folwarku im. Kazimierza Kulwiecia z lat 1928-1929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123 000,00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92195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Na zadania związane z upowszechnianiem kultury, sztuki, ochrony dóbr i dziedzictwa narodowego i lokalnego, w tym koncerty, wernisaże, wystawy, itp., których celem jest promocja lokalnego i narodowego dziedzictwa kulturowego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4 444 739,38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92605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2360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 zadania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upowszechnianiem kultury fizycznej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sportu,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tym: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organizacja zajęć, zawodów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imprez sportowo-rekreacyjnych;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popularyzacja walorów rekreacji ruchowej;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udział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zawodach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imprezach sportowych,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tym szczególnie dzieci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młodzieży;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organizacje innych imprez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charakterze sportowo-rekreacyjnym,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tym współzawodnictwa ochotniczych straży pożarnych;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- wspieranie upowszechniania sportu wśród osób niepełnosprawnych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40 000,00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9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 plan dotacji: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-21 109,52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5 390 629,86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NA PROGRAMY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PROJEKTY REALIZOWANE ZE ŚRODKÓW POCHODZĄCYCH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UNII EUROPEJSKIEJ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INNYCH ŚRODKÓW POCHODZĄCYCH ZE ŹRÓDEŁ ZAGRANICZNYCH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1410"/>
        <w:gridCol w:w="1155"/>
        <w:gridCol w:w="1170"/>
        <w:gridCol w:w="1185"/>
        <w:gridCol w:w="1020"/>
        <w:gridCol w:w="195"/>
        <w:gridCol w:w="1110"/>
        <w:gridCol w:w="16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Projekt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Kategoria interwencji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 xml:space="preserve">funduszy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6"/>
                <w:u w:val="none"/>
                <w:vertAlign w:val="baseline"/>
              </w:rPr>
              <w:t>strukturalnych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Klasyfikacja (dział, rozdział, paragraf)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 okresie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realizacji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projektu (całkowita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projektu)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  <w:tc>
          <w:tcPr>
            <w:tcW w:w="35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 tym: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Jednostka organizacyjna realizująca projekt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Środki z budżetu krajowego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Środki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 budżetu UE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 gminy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Budżetu państwa</w:t>
            </w:r>
          </w:p>
        </w:tc>
        <w:tc>
          <w:tcPr>
            <w:tcW w:w="13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wydatków bieżących na 2024 rok razem: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662 837,83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86 141,25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71 618,29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505 078,29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wydatków majątkowych na 2024 rok razem: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358 219,58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76 554,89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4 080,00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241 584,69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985 057,41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162 696,14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75 698,29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746 662,98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Rozwoju Regionalnego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na Rozwój Cyfrowy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„Cyberbezpieczny samorząd”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828 042,05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124 206,26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84 459,59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619 376,20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498 275,02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74 741,25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50 823,59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372 710,18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72095 inwestycyjne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40 000,03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6 000,01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4 080,00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29 920,02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42 639,94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6 395,99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4 349,27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31 894,68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72095 inwestycyjne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13 260,00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97 240,00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Rozwoju Regionalnego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dla Podlaskiego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"Doposażenie jednostek OSP z terenu gminy Suwałki w sprzęt ratowniczy"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3 908 246,01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977 061,49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2 931 184,52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bieżące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45 600,00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34 200,00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inwestycyjne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70 554,88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211 664,67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bieżące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2025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75412 inwestycyjne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3 580 426,46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895 106,61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2 685 319,85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00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Fundusz: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Europejski Fundusz Społeczny Plus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Szkoła Podstawowa w Płocicznie-Tartak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Fundusze Europejskie dla Rozwoju Społecznego (FERS) 2021-2027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projektu:</w:t>
            </w:r>
          </w:p>
        </w:tc>
        <w:tc>
          <w:tcPr>
            <w:tcW w:w="7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„Mobilność – Europejska droga do nowoczesnej szkoły”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wydatki: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80195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118 962,81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20 794,70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98 168,11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2024 r.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80195 bieżące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118 962,81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20 794,70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98 168,11</w:t>
            </w: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dochodów wprowadzono zmiany m.in.: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budżetowych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wpływu opłaty eksploatacyjnej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opłat za zajęcie pasa drogowego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odszkodowania za zniszczone mienie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332,00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podatku od czynności cywilnoprawnych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970,25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zmniejszono planowane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sprzedaży działek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do wysokości planowanej do otrzymania rekompensaty utraconych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podatku od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odsetek bankowych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należnego wynagrodzenia dla płatnika podatku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584,00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odpłatności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schronisku dla osób bezdomnych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rezygnacją jednej osoby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usług opiekuńczych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DPS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 167 z późn. zm.) zwiększono planowane dochody na: nadanie numeru PESEL na mocy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78,83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finansowanie wypłaty świadczeń pieniężnych z tytułu zapewnienia zakwaterowania i wyżywienia obywatelom Ukrainy na mocy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na dodatkowe zadania oświatowe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kształceniem, wychowaniem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opieką nad dziećmi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uczniami będącymi obywatelami Ukrainy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Odpowiednio do wysokości zaplanowanych środków zwiększono plan wydatków;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niższych wpływów środków finansowych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należnych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zezwoleń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opakowaniach nieprzekraczających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755,32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decyzją Wojewody Podlaskiego z przeznaczeniem na uzupełnienie planu wydatków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na opłacenie składek za osoby pobierające świadczenie pielęgnacyjne, specjalny zasiłek opiekuńczy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zasiłek dla opiekuna za wrzesień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przyznaniem Karty Dużej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na realizację rządowego programu „Dofinansowanie wynagrodzeń pracowników jednostek 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systemu pieczy zastępczej na lata 2024-2027”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na funkcjonowanie ŚDS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Białej Wodzie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596,80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Odpowiednio do wysokości zaplanowanych środków zwiększono plan wydatków;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złożeniem do Ministerstwa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Turystyki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programu Aktywna Szkoła-sprzęt sportowy dla szkół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przypadku podpisania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dofinansowanie Gmina Suwałki na realizację projektu otrzyma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budżetowych na podstawie otrzymanej dotacji celowej na dofinansowanie świadczeń pomocy materialnej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charakterze socjalnym dla uczniów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40.000,00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Odpowiednio do wysokości zaplanowanych środków zwiększono plan wydatków.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wydatków wprowadzono zmiany m.in.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planowane wydatki na świadczenie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publicznego transportu zbiorowego na terenie Gminy Suwałki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przeliczeniem odpisu podstawowego Zakładowego Funduszu Świadczeń Socjalnych od liczby osób zatrudnionych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emerytów zwiększono plan wydatków budżetowych o 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rozstrzygnięciem sądu apelacyjnego w sprawie dotyczącej zwrotu należności dla Krajowego Ośrodka Wsparcia Rolnictwa za działkę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Zielonym Kamedulskim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908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na zadanie inwestycyjne pn. „Poprawa infrastruktury drogowej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Suwaki”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„Uzupełnienie oświetlenia ulicznego mającego na celu powieszenie na istniejących słupach opraw oświetleniowych”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„Rozbudowa drogi gminnej nr 102013B oraz przebudowa drogi wewnętrznej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Taciewo, gm. Suwałki (2024-2025)"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zadania inwestycyjnego pn. „Opracowanie dokumentacji projektowej na rozbudowę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przebudowę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Lipniak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Czerwony Folwark” zostały wydzielone zadania inwestycyjne na Budowę drogi gminnej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poszczególnych miejscowościach;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utworzono nowe zadanie inwestycyjne pn. „ Budowa drogi nr 102011B Leszczewo-Leszczewek, gm. Suwałki"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zakwalifikowaniem się na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RFRD w 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„Wykup infrastruktury wodociągowej zlokalizowanej na terenie Gminy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„Budowa instalacji OZE na budynkach użyteczności publicznej”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na poszczególnych zadaniach inwestycyjnych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rozbudowy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m. Zielone Kamedulskie, Dubowo Drugie, Okuniowiec, Nowa Wieś, Wychodne oraz „Budową studni chłonnych we wsi Sobolewo”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zakończeniem ich realizacji na łączną 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na zadanie pn.” Dokumentacja na rozbudowę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przebudową budynku OSP Potasznia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budżetowych na zadanie pn. „Wykup nieruchomości pod infrastrukturę gminy”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„Budowa studni głębinowej na potrzeby SUW Turówka Stara”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brakiem zapotrzebowania wykonania studni chłonnych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Płociczno-Tartak zmniejszono plan wydatków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nieuzyskaniem dofinansowań ze środków zewnętrznych do planowanych zadań inwestycyjnych zrezygnowano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ich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2024, zmniejszono plan wydatków na zadania: "Budowa sieci kanalizacji sanitarnej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Piertanie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Tartak, gmina Suwałki-Etap I”, „Budowa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rozbudowa dróg gminnych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niezbędną infrastrukturą techniczną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ewidencyjnym Płociczno-Tartak -Etap III" na łączną  kwotę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wprowadzono nowe zadanie inwestycyjne pn. „Zakup maszyny szorująco – zbierającej”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065,00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dokonano przeniesienia środków pomiędzy rozdziałami klasyfikacji budżetowej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koniecznością zabezpieczenia środków na poczet możliwości zapadnięcia wyroku sądowego dotyczącego działki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geodezyjnym Leszczewek oraz rozwiązaniem umowy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wykonania „Gminnego Programu Rewitalizacji Gminy Suwałki do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roku”;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projektu Gminy Suwałki pn. "Cyberbezpieczny Samorząd"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203,06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na zadanie „Budowa Centrum integracji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aktywizacji dla osób starszych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niepełnosprawnych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Stary Folwark”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sfinansowaniem części zamówienia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2025 roku;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na udzielenie dotacji na realizację zajęć wczesnego wspomagania rozwoju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jednostce Miasta Suwałki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przesunięto środki finansowe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Płocicznie-Tartak i Przebrodzie na zapewnienie wkładu własnego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programu organizowanego przez Ministerstwo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Turystyki pn. „Aktywna Szkoła”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zaplanowano dotację celową dla Miasta Suwałki na wykonanie zadania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poprzez zapewnienie możliwości uczęszczania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 do Żłobka Miejskiego działającego na terenie Miasta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naborem wniosków dla MOF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strategii ZIT dla projektów: ”Innowacyjne OZE oraz magazyny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obiektach użyteczności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Mieście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„Podniesienie jakości usług kulturalnych poprzez zakup wyposażenia dla Suwalskiego Ośrodka Kultury (Miasto Suwałki)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Ośrodka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Czytelnictwa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Płocicznie (Gmina Suwałki)”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pozostałe zmiany dotyczą przesunięcia środków finansowych na potrzeby realizacji bieżących zadań jednostek budżetowych.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wprowadzonymi zmianami do budżetu gminy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wyniósł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021,04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Zaplanowano pokrycie deficytu budżetu roku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319,66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wprowadzonych zmianach wynik operacyjny stanowiący różnicę pomiędzy dochodami bieżącym powiększonymi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wydatkami bieżącymi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publicznych.</w:t>
      </w:r>
    </w:p>
    <w:sectPr>
      <w:footerReference w:type="default" r:id="rId12"/>
      <w:endnotePr>
        <w:numFmt w:val="decimal"/>
      </w:endnotePr>
      <w:type w:val="nextPage"/>
      <w:pgSz w:w="11906" w:h="16838" w:orient="portrait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EE142088-6E30-4984-9448-0A29244C7983.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V/35/24 z dnia 30 września 2024 r.</dc:title>
  <dc:subject>w sprawie zmian w^budżecie Gminy Suwałki na 2024^rok</dc:subject>
  <dc:creator>hmarcinkiewicz1</dc:creator>
  <cp:lastModifiedBy>hmarcinkiewicz1</cp:lastModifiedBy>
  <cp:revision>1</cp:revision>
  <dcterms:created xsi:type="dcterms:W3CDTF">2024-10-02T10:17:01Z</dcterms:created>
  <dcterms:modified xsi:type="dcterms:W3CDTF">2024-10-02T10:17:01Z</dcterms:modified>
  <cp:category>Akt prawny</cp:category>
</cp:coreProperties>
</file>