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VIII/64/24</w:t>
      </w:r>
      <w:r>
        <w:rPr>
          <w:rFonts w:ascii="Times New Roman" w:eastAsia="Times New Roman" w:hAnsi="Times New Roman" w:cs="Times New Roman"/>
          <w:b/>
          <w:caps/>
          <w:sz w:val="22"/>
        </w:rPr>
        <w:br/>
      </w:r>
      <w:r>
        <w:rPr>
          <w:rFonts w:ascii="Times New Roman" w:eastAsia="Times New Roman" w:hAnsi="Times New Roman" w:cs="Times New Roman"/>
          <w:b/>
          <w:caps/>
          <w:sz w:val="22"/>
        </w:rPr>
        <w:t>Rady Gminy Suwałki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17 grudnia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przyjęcia Gminnego Program Profilaktyki i Rozwiązywania Problemów Alkoholowych oraz Przeciwdziałania Narkomania na rok 2025.</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w:t>
      </w:r>
      <w:r>
        <w:rPr>
          <w:rFonts w:ascii="Times New Roman" w:eastAsia="Times New Roman" w:hAnsi="Times New Roman" w:cs="Times New Roman"/>
          <w:b w:val="0"/>
          <w:i w:val="0"/>
          <w:caps w:val="0"/>
          <w:strike w:val="0"/>
          <w:color w:val="000000"/>
          <w:sz w:val="22"/>
          <w:u w:val="none" w:color="000000"/>
          <w:vertAlign w:val="superscript"/>
        </w:rPr>
        <w:t>1</w:t>
      </w:r>
      <w:r>
        <w:rPr>
          <w:rFonts w:ascii="Times New Roman" w:eastAsia="Times New Roman" w:hAnsi="Times New Roman" w:cs="Times New Roman"/>
          <w:b w:val="0"/>
          <w:i w:val="0"/>
          <w:caps w:val="0"/>
          <w:strike w:val="0"/>
          <w:color w:val="000000"/>
          <w:sz w:val="22"/>
          <w:u w:val="none" w:color="000000"/>
          <w:vertAlign w:val="baseline"/>
        </w:rPr>
        <w:t xml:space="preserve">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1982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wychowaniu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alkoholizmowi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2151),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ustawy </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2005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1939) Rada Gminy Suwałki 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Przyjmuje się Gminny Program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na rok 2025, stanowiący załącznik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Wykonanie uchwały powierza się Wójtowi Gminy Suwałki.</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01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Marek Jeromin</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1417" w:right="1020" w:bottom="992" w:left="1020" w:header="708" w:footer="708" w:gutter="0"/>
          <w:cols w:space="708"/>
          <w:docGrid w:linePitch="360"/>
        </w:sectPr>
      </w:pPr>
    </w:p>
    <w:p w:rsidR="00A77B3E">
      <w:pPr>
        <w:keepNext/>
        <w:spacing w:before="120" w:after="120" w:line="360" w:lineRule="auto"/>
        <w:ind w:left="584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uchwały Nr VIII/64/24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Gminy Suwałki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Gminny Program Profilaktyki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Rozwiązywania Problemów Alkoholowych</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oraz Przeciwdziałania Narkomanii na rok 2025</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wstępne</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Obowiązek uchwalenia Gminnego Program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na rok 2025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zwany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dalszej części Programem wynika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4¹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1982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wychowaniu w 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alkoholizmowi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2151)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 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2005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1939).</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Jednym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elementów tworzenia skutecznych programów profilaktycznych na poziomie lokalnym jest konieczność zadbania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to, aby ich założenia były spójne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wynikającymi z ustaw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programów na poziomie krajowym oraz aby wpisywały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koncepcję programów strategicznych obowiązujących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regionie. Powiązanie Gminnego Programu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aktów prawnych na poziomie krajowym to głównie: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ustawa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1982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alkoholizmowi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2151);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ustawa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2005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1939);</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ustawa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2005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przemocy domowej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1673);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ustawa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2015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zdrowiu publicznym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1670);</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ustawa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kwietnia 2011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leczniczej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799).</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realizacji niniejszego Programu mają zastosowanie również:</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Narodowy Program Zdrowia na lata 2021-2025, przyjęty Rozporządzeniem Rady Ministrów z dnia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2021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642);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Program Przeciwdziałania  Przemocy Domowej na lata 2024-2030 przyjęty Uchwałą nr L/531/23 Rady Gminy Suwałki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lutego 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4¹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alkoholizmowi do zadań własnych gminy należy prowadzenie działań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profilaktyką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rozwiązywaniem problemów alkoholowych oraz integracją społeczną osób uzależnionych od alkoholu. Zadania te obejmują: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zwiększanie dostępności pomocy terapeutycznej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rehabilitacyjnej dla osób uzależnionych od alkoholu,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udzielanie rodzinom,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występują problemy alkoholowe, pomocy psychospołecznej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prawnej,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szczególności ochrony przed przemocą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prowadzenie profilaktycznej działalności informacyjnej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edukacyjnej oraz działalności szkoleniowej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rozwiązywania problemów alkoholowych, przeciwdziałania narkomanii oraz uzależnieniom behawioralnym,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dla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w tym prowadzenie pozalekcyjnych zajęć sportowych,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działań na rzecz dożywiania dzieci uczestniczących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pozalekcyjnych programach opiekuńczo-wychowawczych i socjoterapeutycznych,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wspomaganie działalności instytucji, stowarzyszeń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 fizycznych, służącej rozwiązywaniu problemów alkoholowych,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podejmowanie interwencji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związku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naruszeniem przepisów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131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15 ustawy oraz występowanie przed sądem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charakterze oskarżyciela publicznego,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wspieranie zatrudnienia socjalnego poprzez organizowanie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finansowanie centrów integracji społecznej.</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 do zadań własnych gminy należy przeciwdziałanie narkomanii.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realizacji ww. zadań przygotowano Gminny Program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na rok 2025, który określa lokalną strategię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profilaktyki uzależnień oraz minimalizacji szkód społecznych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indywidualnych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używania alkoholu, narkotyków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zachowań nałogowych. Ustawa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2021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zmianie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zdrowiu publicznym oraz niektórych innych ustaw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2469)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wprowadziła zmiany do ustawy o wychowaniu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alkoholizmowi. Między innymi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4¹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otrzymał brzmienie: „Realizacja zadań,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jest prowadzona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postaci uchwalonego przez radę gminy gminnego programu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który stanowi część strategii rozwiązywania problemów społecznych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 uwzględnia cele operacyjne dotyczące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Narodowym Programie Zdrowia. Elementem gminnego programu mogą być również zadania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przeciwdziałaniem uzależnieniom behawioralnym.</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Wprowadzenie do problematyki</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Program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na rok 2025, zwany dalej Programem, określa gminną strategię w zakresie profilaktyki: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nadużywania alkoholu, narkotyków, uzależnień behawioralnych. Program stanowi kontynuację działań realizowanych przez gminę we wcześniejszych latach zgodnie z rekomendacjami określonymi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Diagnozie lokalnych problemów społecznych Gminy Suwałki, która na zlecenie Wójta Gminy Suwałki, została przeprowadzona przez Małopolskie Centrum  Profilaktyki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Krakowie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IV kwartale 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Gminny Program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na rok 2025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określa lokalną, gminną strategię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profilaktyki zachowań ryzykownych wśród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szkolnej oraz minimalizacji szkód zdrowotnych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społecznych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używania alkoholu, papierosów, narkotyków, dopalaczy oraz innych substancji uzależniających,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uzależnień behawioralnych;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praktycznej realizacji zadań własnych gminy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priorytetów, które wynikają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 wychowaniu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alkoholizmowi,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przemocy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rodzinie,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ochronie zdrowia przed następstwami używania tytoniu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wyrobów tytoniowych.</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Obecność zagrożenia alkoholizmem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narkomanią,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innymi, destrukcyjnymi zachowaniami ryzykownymi,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wśród młodzieży szkolnej, stwarza potrzebę wdrożenia systemu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rozwiązań wyżej wymienionych problemów, poprzez m.in.:</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podejmowanie oraz późniejsze wspieranie systematycznych działań profilaktycznych wśród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szkolnej, takich jak: informacja, edukacja, promocja zdrowego stylu życia;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wspieranie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zabezpieczenie specjalistycznej pomocy osobom zagrożonym uzależnieniem, a także osobom uzależnionym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rodzinom, ochronę przed przemocą domową, 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zapewnienie profesjonalnych form pomocy dzieciom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 dotkniętych problemem alkoholowym;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wspieranie działań terapeutycznych, rehabilitacyjnych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reintegracyjnych realizowanych na rzecz osób uzależnionych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współuzależnionych;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ograniczenie dostępu do środków psychoaktywnych;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wspieranie sektora pozarządowego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wolontariatu, aktywnych instytucji, szkół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środowisk lokalnych,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przedmiotowym obszarze.</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Uzależnienie od alkoholu powoduje szereg groźnych dla zdrowia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życia powikłań. Choroba alkoholowa jest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rzeczywistości znana ludzkości od tysięcy lat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 swoje podłoże w czynnikach biologicznych, np. genetycznych, psychologicznych, socjalnych oraz środowiskowych.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trakcie nadużywania napojów alkoholowych ujawniają się liczne objawy alkoholizmu, które mają całościowo degradujący charakter dla osoby alkoholika,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jego otoczenia rodzinnego, gdzie bardzo często pojawia się przemoc domowa.</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Diagnoza lokalnych problemów społecznych Gminy Suwałki</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Diagnoza obejmuje podstawowe problemy społeczne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nadużywaniem alkoholu, nikotyny, dopalaczy, narkotyków oraz uzależnień behawioralnych. Sporządzona została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drugiej  połowie 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Dane dotyczące lokalnych zagrożeń społecznych uzyskane zostały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drodze anonimowych badań ankietowych przeprowadzonych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Suwałki wśród trzech grup reprezentujących trzy lokalne środowiska: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dorośli mieszkańcy,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 szkolna,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sprzedawcy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właściciele punktów sprzedaży alkoholu.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Diagnoza lokalnych problemów społecznych odnosi się do procesu identyfikacji, analizy i zrozumienia głównych problemów, wyzwań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potrzeb występujących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konkretnej społeczności lub lokalnym obszarze. Jest to szczegółowe zbadanie różnorodnych aspektów życia społecznego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danej społeczności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zidentyfikowania obszarów wymagających interwencji lub udzielenia wsparcia.</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Diagnoza lokalnych problemów społecznych wskazuje wnioski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rekomendacje profilaktyczne dla następujących grup:</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caps w:val="0"/>
          <w:strike w:val="0"/>
          <w:color w:val="000000"/>
          <w:sz w:val="22"/>
          <w:u w:val="single" w:color="000000"/>
          <w:vertAlign w:val="baseline"/>
        </w:rPr>
        <w:t>Dorośli mieszkańcy Gminy Suwałki:</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Badania obejmowały mieszkańców Gminy Suwałki, którzy ukończyli osiemnasty rok życia, metoda zastosowana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badaniu to PAPI (ang. Paper &amp; Pen Personal Interview) – metoda zbierania informacji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ilościowych badaniach rynku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publicznej, bezpośredni indywidualny wywiad kwestionariuszowy. Respondenci byli informowani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anonimowym charakterze ankiety oraz możliwości rezygnacji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badania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dowolnym momencie.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badaniu wzięło udział 200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69% stanowiły kobiet,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31% mężczyźni. Średnia wieku respondentów wyniosła 33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lata.</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Wnioski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 opinii mieszkańców Gminy Suwałki najistotniejszymi problemami społecznymi są: uzależnienie od papierosów (78%) oraz alkoholu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uzależnienia behawioralne (po 77%), a także nadużywanie energetyków przez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 (76%).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kolei bardzo powszechnymi zjawiskami uzależnień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środowisku są: alkoholizm (69%), nikotynizm (65%) oraz siecioholizm (62%),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według opinii wyrażonych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ankiecie na temat spożywania alkoholu mieszkańcy Gminy Suwałki odzwierciedlają postawy wobec picia alkoholu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średnim poziomie ryzyka – badani nieregularnie spożywają alkohol (deklaracje: kilka razy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49%, kilka razy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miesiącu 16%) wypijając przy tym spore ilości alkoholu (5-6 porcji: 26%, 7-9 porcji: 18%),</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dla blisko 2/3 badanych (62%)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najbliższej okolicy znajduję się odpowiednia liczba punktów, gdzie można nabyć alkohol,</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58% respondentów uważa osoby pijące alkohol za zagrażające bezpieczeństwu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lokalnym środowisku,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13% badanych mieszkańców Gminy Suwałki daje przyzwolenie na prowadzenie samochodu po wypiciu niewielkiej ilości alkoholu oraz uważa, że jest to bezpieczne,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97% ankietowanych przyznało, że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 wiedzy na temat miejsc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lokalnym środowisku,</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których osoby borykające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problemem uzależnienia od alkoholu uzyskałyby pomoc,</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zauważalny jest problem przemocy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rodzinie – 16% badanych mieszkańców Gminy Suwałki deklaruje, że ma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swoim otoczeniu osoby doświadczające przemocy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rodzinie,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59%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jest pewna, ale podejrzewa, że może do tego dochodzić,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palenie wyrobów tytoniowych wśród dorosłych mieszkańców Gminy Suwałki jest rozpowszechnionym nałogiem – 38% badanych deklaruje, że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pali wyrobów tytoniowych nałogowo czy też okazjonalnie,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badani respondenci deklarują, że znają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swoim środowisku osoby przyjmujące substancje odurzające tj. narkotyki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dopalacze. 67% badanych osób zna przynajmniej jedną taką osobę,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problem uzależnienia od gier hazardowych na terenie Gminy Suwałki można określić jako zauważalny – 23% badanych mieszkańców przyznaje, że grywa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gry na pieniądze,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54% ankietowanych mieszkańców dostrzega potrzebę realizacji działań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profilaktyki uzależnień. Badani wskazali szczególnie na potrzebę organizacji: warsztatów profilaktycznych dla uczniów (33%), wsparcia psychologicznego dla rodzin (30%) oraz otwartych konsultacji z terapeutą uzależnień (27%).</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Rekomendowane działania dla dorosłych mieszkańców: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przeprowadzenie kampanii informacyjnej dotyczącej negatywnych skutków zdrowotnych, społecznych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prawnych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nadużywania alkoholu,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mechanizmów uzależnienia.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celu skuteczne mogą okazać się rozpowszechniane wśród mieszkańców ulotki, broszury lub rozmieszczone na terenie Gminy plakaty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bilbordy. Aby dotrzeć do jak najszerszego grona odbiorców, warto wykorzystać przy tym nowe media. Warto również wykorzystać tablice informacyjne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miejscach publicznych. Kampania powinna uwzględniać również informacje dla mieszkańców Gminy, na temat możliwych form pomocy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uzależnienia od alkoholu (także jeśli chodzi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kogoś znajomego lub członka rodziny).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inicjowanie współpracy pomiędzy instytucjami oraz organizacjami działającymi w obszarze uzależnień.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organizowanie szkoleń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kursów mających na celu podnoszenie kompetencji zatrudnionej kadry oraz zaangażowanie tych podmiotów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prowadzenie kampanii społecznych. Ważne przed przeprowadzeniem szkoleń, jest przekazanie grupom, które mają być objęte szkoleniem, krótkich ankiet mających na celu zbadanie ich potrzeb szkoleniowych.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wprowadzanie do podstawowej opieki zdrowotnej programów wczesnego rozpoznawania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 krótkiej interwencji (WRKI) wobec osób pijących alkohol ryzykownie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szkodliwie.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organizowanie szkoleń dla lekarzy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pielęgniarek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rozpoznawania wzorów spożywania alkoholu przez pacjentów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podejmowania interwencji wobec osób pijących alkohol ryzykownie</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 szkodliwie.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przeprowadzenie kampanii informacyjnej na temat konsekwencji prowadzenia pojazdów pod wpływem alkoholu oraz podejmowanie działań mających na celu zmianę przekonań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postaw uczestników ruchu drogowego poprzez wzmacnianie postawy braku tolerancji dla spożywania alkoholu wśród osób kierujących pojazdami.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Policją, na przykład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rozpowszechniania przez nich ulotek, broszur</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 materiałów edukacyjnych podczas kontroli drogowych na temat wpływu alkoholu na organizm.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rozpowszechnianie ulotek, broszur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plakatów, na których znajdować się będą informacje zachęcające do rzucenia palenia oraz sposoby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metody, które mogą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pomóc.</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podjęcie działań profilaktycznych wykorzystując przy tym strategię informacyjną mającą na celu edukację mieszkańców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szkodliwości nikotyny na zdrowie palacza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jego najbliższym otoczeniu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wskazane jest zwrócenie szczególnej uwagi na dostępność oraz rozpowszechnienie informacji na temat działań podejmowanych przez władze lokalne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przeciwdziałania uzależnieniu od narkotyków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dopalaczy,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rozpowszechniania wiedzy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negatywnych skutkach ich zażywania.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należałoby mimo wszystko zwrócić większą uwagę na dostępność oraz rozpowszechnianie informacji na temat instytucji, do których może zgłosić się osoba uzależniona od hazardu,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mechanizmów uzależnienia zarówno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środowisku dorosłych, jak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dzieci oraz młodzieży.</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Dzieci i</w:t>
      </w:r>
      <w:r>
        <w:rPr>
          <w:rFonts w:ascii="Times New Roman" w:eastAsia="Times New Roman" w:hAnsi="Times New Roman" w:cs="Times New Roman"/>
          <w:b/>
          <w:i w:val="0"/>
          <w:caps w:val="0"/>
          <w:strike w:val="0"/>
          <w:color w:val="000000"/>
          <w:sz w:val="22"/>
          <w:u w:val="single" w:color="000000"/>
          <w:vertAlign w:val="baseline"/>
        </w:rPr>
        <w:t> </w:t>
      </w:r>
      <w:r>
        <w:rPr>
          <w:rFonts w:ascii="Times New Roman" w:eastAsia="Times New Roman" w:hAnsi="Times New Roman" w:cs="Times New Roman"/>
          <w:b/>
          <w:i w:val="0"/>
          <w:caps w:val="0"/>
          <w:strike w:val="0"/>
          <w:color w:val="000000"/>
          <w:sz w:val="22"/>
          <w:u w:val="single" w:color="000000"/>
          <w:vertAlign w:val="baseline"/>
        </w:rPr>
        <w:t xml:space="preserve">młodzież szkolna </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badaniu wzięli  uczniowie  klas IV-VIII Szkół Podstawowych  Gminy Suwałki (łącznie  137 uczniów). Badanie przeprowadzono metodą CAWI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(ang.</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 xml:space="preserve">Computer-Assisted Web Interview) - </w:t>
      </w:r>
      <w:r>
        <w:rPr>
          <w:rFonts w:ascii="Times New Roman" w:eastAsia="Times New Roman" w:hAnsi="Times New Roman" w:cs="Times New Roman"/>
          <w:b w:val="0"/>
          <w:i w:val="0"/>
          <w:caps w:val="0"/>
          <w:strike w:val="0"/>
          <w:color w:val="000000"/>
          <w:sz w:val="22"/>
          <w:u w:val="none" w:color="000000"/>
          <w:vertAlign w:val="baseline"/>
        </w:rPr>
        <w:t>wspomagany komputerowo wywiad przy pomocy strony WWW (wykorzystane narzędzie badawcze to program CORIGO rekomendowany przez ORE) – technika zbierania informacji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ilościowych badaniach rynku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publicznej,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respondent jest proszony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wypełnienie ankiety  w formie elektronicznej. Użycie tej metody pozwala na efektywne badanie postaw uczniów. Forma ankiety internetowej jest dla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młodzieży atrakcyjna oraz pozwala na upewnienie się, że na wszystkie pytania zostanie udzielona odpowiedź. </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 xml:space="preserve">Wnioski: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spożywanie napojów alkoholowych przez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 szkolną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Suwałki jest zauważalnym problemem. 6% uczniów klas 4-8 deklaruje, że ma za sobą inicjację alkoholową. Planując oddziaływania profilaktyczne kierowane do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warto wykorzystywać proces uczenia się rówieśniczego. Jest to sytuacja,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dorastający człowiek czerpie pozytywne poglądy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postawy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tylko od nauczyciela czy pedagoga, ale głównie od swoich rówieśników. Jeśli podczas programów profilaktycznych zostaną przeprowadzone odpowiednio dobrane ćwiczenia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zabawy, uczniowie sami wyciągną wnioski dotyczące alkoholu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będą mieli okazję podzielić się nimi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grupą,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 palenia papierosów chociaż 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życiu przyznaje się 6% uczniów klas  4-8,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czego 4% badanych deklaruje, że spróbowało palenia tylko raz. Najczęściej wskazywanymi powodami palenia papierosów przez uczniów, którzy mają za sobą inicjację nikotynową była chęć spróbowania czegoś nowego oraz namowa znajomych. Jednocześnie, niepokojący jest względnie bardzo łatwy dostęp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do wyrobów tytoniowych oraz napojów alkoholowych. Jego ograniczenie jest zadaniem leżącym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obowiązku osób dorosłych. Rekomenduje się podejmowanie działań budujących świadomość zagrożenia związanego z poszczególnymi używkami poprzez warsztaty profilaktyczne, szkolenia dla nauczycieli lub pogadanki profilaktyczne dla rodziców,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zażywanie substancji psychoaktywnych takich jak narkotyki czy dopalacze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występuje wśród uczniów szkół Gminy Suwałki. Jednakże, należy zwrócić uwagę na profilaktykę narkotykową wśród uczniów.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zażywania substancji psychoaktywnych bardzo ważne jest prowadzenie regularnych zajęć profilaktycznych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przeciwdziałania uzależnieniom. Najbardziej sprzyjające okoliczności do kontaktu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substancjami psychoaktywnymi stwarzają wakacje oraz czas wolny, dlatego też dzieci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okresie powinny zostać otoczone szczególną uwagą opiekunów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uświadamiane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kwestii niebezpieczeństw, jakie wiążą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zażywaniem substancji psychoaktywnych. Zaleca się podjęcie obserwacji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placówkach oświatowych,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identyfikacji uczniów zażywających środki psychoaktywne,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należy zwrócić uwagę na obniżający się wiek osób sięgających po napoje energetyzujące, które stanowią duże obciążenie zdrowotne dla młodego organizmu. 15% uczniów klas SP 4-8 jest zdania, że napoje energetyczne są zdrowe. Co więcej, 32% badanych uczniów deklaruje, że pije napoje energetyczne. Ustawa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sierpnia 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zmianie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zdrowiu publicznym oraz niektórych innych ustaw, wprowadza zakaz sprzedaży napojów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dodatkiem tauryny i kofeiny (czyli energetyków lub napojów energetycznych) osobom poniżej 18. roku życia tego typu napoje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sprzedawane na terenie szkół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placówek oświatowych (np. przedszkolach, placówkach wychowawczych, bibliotekach pedagogicznych)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automatach.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niepokój budzi ilość czasu spędzanego na korzystaniu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telefonu komórkowego (smartfonu). Uczniowie spędzają dziennie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ten sposób nawet powyżej 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 dziennie. Oznaczać to może, że po zakończonych lekcjach są to ich jedyne formy spędzania czasu. Należy mieć na uwadze,</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iż trzeba wspierać wszelkie inicjatywy rozwijające różnorodne pasje uczniów, tak aby były bardziej atrakcyjną formą spędzania czasu po szkole niż surfowanie po stronach internetowych oferujących niewiele wartościowych treści. Istotne jest, aby włączać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 działania rodziców, którzy mają możliwość nadzorowania tego, jak ich dzieci wykorzystują domowe komputery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inne urządzenia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dostępem do Internetu.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negatywnie należy ocenić skłonność uczniów do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gier hazardowych (20% uczniów deklaruje doświadczenie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hazardem). Gry „na pieniądze” zaczynają być coraz bardziej popularne wśród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 dlatego też warto zaznajomić uczniów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tematyką powstawania uzależnienia od hazardu, na przykład poprzez przeprowadzenie warsztatów profilaktycznych.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deklarują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zdecydowanej większości bardzo dobre lub dobre relacje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opiekunami. Zaleca się rozwijanie pozytywnego potencjału rodziny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jednocześnie wzmacnianie czynnika chroniącego, jakim jest pozytywna więź dziecka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 poprzez realizację warsztatów podnoszących kompetencje wychowawcze rodziców. Jednocześnie warto zauważyć, że większość uczniów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ufa swoim nauczycielom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 skorzystaliby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możliwości rozmowy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nimi na temat problemów z substancjami psychoaktywnymi.</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Rekomendowane działania dla środowiska szkolnego</w:t>
      </w:r>
      <w:r>
        <w:rPr>
          <w:rFonts w:ascii="Times New Roman" w:eastAsia="Times New Roman" w:hAnsi="Times New Roman" w:cs="Times New Roman"/>
          <w:b w:val="0"/>
          <w:i w:val="0"/>
          <w:caps w:val="0"/>
          <w:strike w:val="0"/>
          <w:color w:val="000000"/>
          <w:sz w:val="22"/>
          <w:u w:val="single" w:color="000000"/>
          <w:vertAlign w:val="baseline"/>
        </w:rPr>
        <w:t>:</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Organizacja spotkań, pogadanek, zajęć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warsztatów dla uczniów, które będą: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wskazywały negatywne skutki picia alkoholu, palenia papierosów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uzależnienia od tych substancji,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uświadamiały uczniom jak uzależnienie wpływa na życie,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rozwijały asertywną postawę – umiejętność odmowy,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kształtowały postawy wolne od używek oraz promowały zdrowy styl życia,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uczyły zasad bezpiecznego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miały na celu poznawanie zasad ochrony danych osobowych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Internecie przez uczniów,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uczyły zasad stosowania ograniczonego zaufania do osób poznanych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sieci oraz postawy wzajemnego szacunku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Internecie,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kształtowały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młodych ludziach czujności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stosunku do innych szczególnie nieznajomych,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dostarczą uczniom wiedzy dotyczącej zarówno korzyści, jak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zagrożeń płynących z użytkowania Internetu,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kształtowały postawy uczniów sprzyjających podejmowaniu racjonalnych decyzji związanych z czasem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doborem treści programów komputerowych oraz Internetu,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podniosą świadomości uczniów dotyczących ograniczeń prawnych wynikających z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miały wpływu hazardu na funkcjonowanie młodego człowieka,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alternatywą form spędzania wolnego czasu,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14) </w:t>
      </w:r>
      <w:r>
        <w:rPr>
          <w:rFonts w:ascii="Times New Roman" w:eastAsia="Times New Roman" w:hAnsi="Times New Roman" w:cs="Times New Roman"/>
          <w:b w:val="0"/>
          <w:i w:val="0"/>
          <w:caps w:val="0"/>
          <w:strike w:val="0"/>
          <w:color w:val="000000"/>
          <w:sz w:val="22"/>
          <w:u w:val="none" w:color="000000"/>
          <w:vertAlign w:val="baseline"/>
        </w:rPr>
        <w:t>budować pozytywny obraz samego siebie.</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caps w:val="0"/>
          <w:strike w:val="0"/>
          <w:color w:val="000000"/>
          <w:sz w:val="22"/>
          <w:u w:val="single" w:color="000000"/>
          <w:vertAlign w:val="baseline"/>
        </w:rPr>
        <w:t>Sprzedawcy napojów alkoholowych</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Badanie zostało przeprowadzone metodą</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PAPI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metoda zbierania informacji w ilościowych</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badaniach rynku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opinii publicznej, bezpośredni indywidualny wywiad</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kwestionariuszowy. Ankieta miała charakter anonimowy,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respondenci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każdym momencie mogli przerwać badanie.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badaniu wzięło udział 10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osób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90% kobiet oraz 10% mężczyzn. Średnia wieku przebadanych sprzedawców wyniosła 38,9 lat.</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Wnioski</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Rozkład deklaracji sprzedaży alkoholu pozwala sądzić, iż sprzedawcy odpowiedzialnie podchodzą</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do sprzedaży alkoholu osobom niepełnoletnim.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wątpliwości, co do wieku osoby kupującej alkohol badani deklarują, że tylko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60% zawsze,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40% często sprawdzają dowody potwierdzające wiek. 40%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badanych uważa, że osoby pijące alkohol zagrażają bezpieczeństwu w lokalnym środowisku. Respondenci wskazują, że przypadki próby kupna alkoholu przez osobę poniżej 18go roku życia zdarzają się najczęściej kilka razy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(40%), ale także kilka razy w tygodniu (20%). 100% badanych deklaruje, że nigdy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sprzedało alkoholu osobie budzącej wątpliwości osobie niepełnoletniej. 40% badanych stwierdza, że sytuacje spożywania alkoholu w obrębie sklepu zdarza się codziennie.</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Rekomendowane działania dla sprzedawców napojów alkoholowych: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przeprowadzenie kampanii informacyjnej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odpowiedzialnej sprzedaży napojów alkoholowych. Kampania informacyjna może obejmować szkolenie dla sprzedawców napojów alkoholowych (szkolenie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punktach sprzedaży alkoholu), działania edukacyjne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wykorzystaniem techniki Mystery Shopping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dystrybucję materiałów typu plakaty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ulotki, naklejki do umieszczenia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punktach.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podejmowanie cyklicznych działań kontrolnych, interwencyjnych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prewencyjno –edukacyjnych, mających na celu ograniczanie dostępności napojów alkoholowych np. wykorzystanie procedur badawczo - profilaktycznych.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zakup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kolportaż materiałów edukacyjnych skierowany do sprzedawców napojów alkoholowych występujących do Urzędu Gminy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wnioskiem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wydanie zezwolenia na sprzedaż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podawanie napojów alkoholowych.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rekomenduje się także zapoznanie pracowników punktów sprzedaży napojów alkoholowych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procedurą skutecznej odmowy, wzmacnianie umiejętności asertywności oraz ukazanie sposobów wspomagających współpracę sprzedawców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Policją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organem kontrolnym takim jak GKRPA.</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Ponadto rekomenduje się poszerzanie wiedzy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kompetencji nauczycieli oraz rodziców poprzez szkolenia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spotkania otwarte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tematyce: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przyczyn wchodzenia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uzależnienie, charakterystyki substancji psychoaktywnych,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wskazania miejsca nauczyciela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procesie szeroko pojętej profilaktyki uzależnień,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ukazania znaczenia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oczekiwanych skutków programów profilaktycznych,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sposobów wyjścia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ukazania roli komunikacji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relacjach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dzieckiem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uczniem,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przedstawienie mechanizmu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konsekwencji uzależnienia,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zwrócenie uwagi na różne formy uzależnienia,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przekazanie rzetelnej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dokładnej wiedzy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specyfice czynności uzależniających oraz ich wpływie na organizm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psychikę młodych ludzi,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omówienie poszczególnych uzależnień behawioralnych tj. pracoholizm, internetoholizm, jedzenioholizm, zakupoholizm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uzależnienie od hazardu, gier, zakładów, seksu,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omówienie: ZUI – Zespół Uzależnienia do Internetu, wpływ komputera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Internetu na młodego człowieka, rodzaje aktywności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sieci, zalety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najpopularniejsze zagrożenia Internetu,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jak chronić własne dziecko – poradnik dla wychowawców klas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nauczycieli, sposoby ochrony dzieci przed zagrożeniami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nowe zagrożenia m.in: sexting – nastoletnia auto-pornografia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sieci, cyberprzemoc, era informacji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manipulacji medialnej, kampanie społeczne dotyczące zagrożeń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Internetem.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14) </w:t>
      </w:r>
      <w:r>
        <w:rPr>
          <w:rFonts w:ascii="Times New Roman" w:eastAsia="Times New Roman" w:hAnsi="Times New Roman" w:cs="Times New Roman"/>
          <w:b w:val="0"/>
          <w:i w:val="0"/>
          <w:caps w:val="0"/>
          <w:strike w:val="0"/>
          <w:color w:val="000000"/>
          <w:sz w:val="22"/>
          <w:u w:val="none" w:color="000000"/>
          <w:vertAlign w:val="baseline"/>
        </w:rPr>
        <w:t>programy pozwalające kontrolować dostęp dzieci do komputera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Internetu.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celu realizacji Gminnego Programu Profilaktyki ważna jest analiza możliwości Gminy Suwałki pod względem mocnych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słabych stron, szans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zagrożeń,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wnioski będą mogły wpłynąć na efekt końcowy Programu. Na podstawie powyżej zamieszczonych informacji – diagnozy możliwe jest wyeksponowanie najważniejszych obszarów problemowych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skonstruowanie analizy otoczenia zewnętrznego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wewnętrznego głównych obszarów problemowych metodą SWOT.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041"/>
        <w:gridCol w:w="50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5040" w:type="dxa"/>
            <w:tcBorders>
              <w:top w:val="single" w:sz="4" w:space="0" w:color="auto"/>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MOCNE STRONY</w:t>
            </w:r>
          </w:p>
        </w:tc>
        <w:tc>
          <w:tcPr>
            <w:tcW w:w="5040" w:type="dxa"/>
            <w:tcBorders>
              <w:top w:val="single" w:sz="4" w:space="0" w:color="auto"/>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SŁABE STRONY</w:t>
            </w:r>
          </w:p>
        </w:tc>
      </w:tr>
      <w:tr>
        <w:tblPrEx>
          <w:tblW w:w="5000" w:type="pct"/>
          <w:tblLayout w:type="fixed"/>
          <w:tblCellMar>
            <w:left w:w="108" w:type="dxa"/>
            <w:right w:w="108" w:type="dxa"/>
          </w:tblCellMar>
        </w:tblPrEx>
        <w:trPr>
          <w:trHeight w:hRule="auto" w:val="0"/>
        </w:trPr>
        <w:tc>
          <w:tcPr>
            <w:tcW w:w="5040" w:type="dxa"/>
            <w:tcBorders>
              <w:top w:val="single" w:sz="4"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Względnie wysoki procent mieszkańców (92%) jest zdania, iż kobieta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ciąży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może pić nawet małej ilość alkoholu. </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Pośród dorosłej społeczności Gminy Suwałki odsetek abstynentów jest średni (30%).</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Ankietowani mieszkańcy rzadko sięgają po napoje alkoholowe (kilka razy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roku: 49%; kilka razy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miesiącu: 16%).</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100% sprzedawców deklaruje, że nigdy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sprzedała alkoholu osobie nieletniej.</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80% badanych sprzedawców jest zdania, iż spożywanie alkoholu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pomaga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trudnych sytuacjach życiowych.</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 xml:space="preserve">Większość sprzedawców charakteryzuje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się względnie średnią świadomością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związku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pełnioną przez nich funkcją. </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100% sprzedawców zawsze lub często sprawdza dowody osobiste kupujących alkohol.</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90% badanych sprzedawców oceniło funkcjonowanie kontroli sprzedaży alkoholu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Gminie Suwałki jako raczej dobrze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bardzo dobrze.</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Uczniowie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Gminie Suwałki deklarują, że czują się bardzo dobrze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dobrze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środowisku swojej klasy – co świadczy o</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mocnych fundamentach więzi społecznych.</w:t>
            </w:r>
          </w:p>
          <w:p w:rsidR="00A77B3E">
            <w:pPr>
              <w:spacing w:before="120" w:after="12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Większość badanych uczniów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pali wyrobów tytoniowych. </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61% uczniów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jest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stanie określić czy zakup narkotyków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ich okolicy jest łatwą czy trudną czynnością.</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Hazard wydaje się być mało atrakcyjny dla młodszej części społeczeństwa Gminy Suwałki (odpowiedź nigdy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brałem udziału zaznaczyło 80% badanych).</w:t>
            </w:r>
          </w:p>
        </w:tc>
        <w:tc>
          <w:tcPr>
            <w:tcW w:w="5040" w:type="dxa"/>
            <w:tcBorders>
              <w:top w:val="single" w:sz="4"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t>·</w:t>
            </w:r>
            <w:r>
              <w:rPr>
                <w:sz w:val="24"/>
              </w:rPr>
              <w:t xml:space="preserve">Tylko 83% dorosłych jest zdania, iż prowadzenie pojazdów mechanicznych po wypiciu alkoholu jest bezpieczne. </w:t>
            </w:r>
          </w:p>
          <w:p>
            <w:pPr>
              <w:jc w:val="both"/>
            </w:pPr>
            <w:r>
              <w:t>·</w:t>
            </w:r>
            <w:r>
              <w:rPr>
                <w:sz w:val="24"/>
              </w:rPr>
              <w:t>Niewiele ponad połowa (54%) dorosłego społeczeństwa wyraża potrzebę realizacji działań profilaktycznych na rzecz przeciwdziałania uzależnieniom.</w:t>
            </w:r>
          </w:p>
          <w:p>
            <w:pPr>
              <w:jc w:val="both"/>
            </w:pPr>
            <w:r>
              <w:t>·</w:t>
            </w:r>
            <w:r>
              <w:rPr>
                <w:sz w:val="24"/>
              </w:rPr>
              <w:t xml:space="preserve">Hazard wśród dorosłych mieszkańców Gminy Suwałki jest zauważalnym zjawiskiem. </w:t>
            </w:r>
          </w:p>
          <w:p>
            <w:pPr>
              <w:jc w:val="both"/>
            </w:pPr>
            <w:r>
              <w:t>·</w:t>
            </w:r>
            <w:r>
              <w:rPr>
                <w:sz w:val="24"/>
              </w:rPr>
              <w:t>Mieszkańcy przyznają, że uzależnienie od narkotyków i/lub dopalaczy jest rozpowszechnionym zjawiskiem (67% badanych zna przynajmniej jedną uzależnioną osobę).</w:t>
            </w:r>
          </w:p>
          <w:p>
            <w:pPr>
              <w:jc w:val="both"/>
            </w:pPr>
            <w:r>
              <w:t>·</w:t>
            </w:r>
            <w:r>
              <w:rPr>
                <w:sz w:val="24"/>
              </w:rPr>
              <w:t>Zaledwie 22% dorosłych mieszkańców zadeklarowało, iż po raz pierwszy spróbowało alkoholu powyżej 18 roku życia.</w:t>
            </w:r>
          </w:p>
          <w:p>
            <w:pPr>
              <w:jc w:val="both"/>
            </w:pPr>
            <w:r>
              <w:t>·</w:t>
            </w:r>
            <w:r>
              <w:rPr>
                <w:sz w:val="24"/>
              </w:rPr>
              <w:t>54% pełnoletnich mieszkańców Gminy jest zdania, że dzieci i młodzież w łatwy sposób mogą kupić w okolicznych sklepach alkohol i papierosy.</w:t>
            </w:r>
          </w:p>
          <w:p>
            <w:pPr>
              <w:jc w:val="both"/>
            </w:pPr>
            <w:r>
              <w:t>·</w:t>
            </w:r>
            <w:r>
              <w:rPr>
                <w:sz w:val="24"/>
              </w:rPr>
              <w:t>20% sprzedawców zgadza się z tym, że alkohol jest dostępny dla osób niepełnoletnich.</w:t>
            </w:r>
          </w:p>
          <w:p>
            <w:pPr>
              <w:jc w:val="both"/>
            </w:pPr>
            <w:r>
              <w:t>·</w:t>
            </w:r>
            <w:r>
              <w:rPr>
                <w:sz w:val="24"/>
              </w:rPr>
              <w:t>Spożywanie alkoholu w obrębie punktów jego sprzedaży wydaje się częstym zjawiskiem (kilka razy dziennie: 40%).</w:t>
            </w:r>
          </w:p>
          <w:p>
            <w:pPr>
              <w:jc w:val="both"/>
            </w:pPr>
            <w:r>
              <w:t>·</w:t>
            </w:r>
            <w:r>
              <w:rPr>
                <w:sz w:val="24"/>
              </w:rPr>
              <w:t>16% osób dorosłych zna osoby, które doświadczają przemocy domowej, a 59% ma podejrzenia, że tak się dzieje.</w:t>
            </w:r>
          </w:p>
          <w:p>
            <w:pPr>
              <w:jc w:val="both"/>
            </w:pPr>
            <w:r>
              <w:t>·</w:t>
            </w:r>
            <w:r>
              <w:rPr>
                <w:sz w:val="24"/>
              </w:rPr>
              <w:t>Ogólny problem picia alkoholu i palenia tytoniu wśród dzieci i młodzieży oraz obniżający się wiek inicjacji alkoholowej i nikotynowej.</w:t>
            </w:r>
          </w:p>
          <w:p>
            <w:pPr>
              <w:jc w:val="both"/>
            </w:pPr>
            <w:r>
              <w:t>·</w:t>
            </w:r>
            <w:r>
              <w:rPr>
                <w:sz w:val="24"/>
              </w:rPr>
              <w:t>Wśród młodzieży jest obecne zjawisko uzależnienia od smartfonu oraz Internetu.</w:t>
            </w:r>
          </w:p>
          <w:p>
            <w:pPr>
              <w:jc w:val="both"/>
            </w:pPr>
            <w:r>
              <w:t>·</w:t>
            </w:r>
            <w:r>
              <w:rPr>
                <w:sz w:val="24"/>
              </w:rPr>
              <w:t>Spora cześć badanych uczniów nie jest świadoma wpływu alkoholu na zdrowie i samopoczucie człowieka.</w:t>
            </w:r>
          </w:p>
        </w:tc>
      </w:tr>
      <w:tr>
        <w:tblPrEx>
          <w:tblW w:w="5000" w:type="pct"/>
          <w:tblLayout w:type="fixed"/>
          <w:tblCellMar>
            <w:left w:w="108" w:type="dxa"/>
            <w:right w:w="108" w:type="dxa"/>
          </w:tblCellMar>
        </w:tblPrEx>
        <w:trPr>
          <w:trHeight w:hRule="auto" w:val="0"/>
        </w:trPr>
        <w:tc>
          <w:tcPr>
            <w:tcW w:w="5040" w:type="dxa"/>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4"/>
              </w:rPr>
              <w:t>SZANSE</w:t>
            </w:r>
          </w:p>
        </w:tc>
        <w:tc>
          <w:tcPr>
            <w:tcW w:w="5040" w:type="dxa"/>
            <w:tcBorders>
              <w:top w:val="nil"/>
              <w:left w:val="single" w:sz="4" w:space="0" w:color="auto"/>
              <w:bottom w:val="nil"/>
              <w:right w:val="single" w:sz="4" w:space="0" w:color="auto"/>
            </w:tcBorders>
            <w:noWrap w:val="0"/>
            <w:tcMar>
              <w:top w:w="0" w:type="dxa"/>
              <w:left w:w="108" w:type="dxa"/>
              <w:bottom w:w="0" w:type="dxa"/>
              <w:right w:w="108" w:type="dxa"/>
            </w:tcMar>
            <w:textDirection w:val="lrTb"/>
            <w:vAlign w:val="top"/>
            <w:hideMark/>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b/>
                <w:sz w:val="24"/>
              </w:rPr>
              <w:t>ZAGROŻENIA</w:t>
            </w:r>
          </w:p>
        </w:tc>
      </w:tr>
      <w:tr>
        <w:tblPrEx>
          <w:tblW w:w="5000" w:type="pct"/>
          <w:tblLayout w:type="fixed"/>
          <w:tblCellMar>
            <w:left w:w="108" w:type="dxa"/>
            <w:right w:w="108" w:type="dxa"/>
          </w:tblCellMar>
        </w:tblPrEx>
        <w:trPr>
          <w:trHeight w:hRule="auto" w:val="0"/>
        </w:trPr>
        <w:tc>
          <w:tcPr>
            <w:tcW w:w="5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t>·</w:t>
            </w:r>
            <w:r>
              <w:rPr>
                <w:sz w:val="24"/>
              </w:rPr>
              <w:t>Wzrost świadomości społecznej dotyczącej problemów zdrowotnych i zagrożeń społecznych.</w:t>
            </w:r>
          </w:p>
          <w:p>
            <w:pPr>
              <w:jc w:val="both"/>
            </w:pPr>
            <w:r>
              <w:t>·</w:t>
            </w:r>
            <w:r>
              <w:rPr>
                <w:sz w:val="24"/>
              </w:rPr>
              <w:t>Możliwość korzystania z programów z zakresu pomocy społecznej współfinansowanych ze środków rządowych i unijnych.</w:t>
            </w:r>
          </w:p>
          <w:p>
            <w:pPr>
              <w:jc w:val="both"/>
            </w:pPr>
            <w:r>
              <w:t>·</w:t>
            </w:r>
            <w:r>
              <w:rPr>
                <w:sz w:val="24"/>
              </w:rPr>
              <w:t>Wzrost aktywności społecznej wśród mieszkańców.</w:t>
            </w:r>
          </w:p>
          <w:p>
            <w:pPr>
              <w:jc w:val="both"/>
            </w:pPr>
            <w:r>
              <w:t>·</w:t>
            </w:r>
            <w:r>
              <w:rPr>
                <w:sz w:val="24"/>
              </w:rPr>
              <w:t>Rozwój oferty sportowej i kulturalnej dla mieszkańców.</w:t>
            </w:r>
          </w:p>
          <w:p>
            <w:pPr>
              <w:jc w:val="both"/>
            </w:pPr>
            <w:r>
              <w:t>·</w:t>
            </w:r>
            <w:r>
              <w:rPr>
                <w:sz w:val="24"/>
              </w:rPr>
              <w:t>Rozwój współpracy pracowników pomocy społecznej z instytucjami sektora publicznego, organizacjami społecznymi oraz lokalną wspólnotą.</w:t>
            </w:r>
          </w:p>
          <w:p>
            <w:pPr>
              <w:jc w:val="both"/>
            </w:pPr>
            <w:r>
              <w:t>·</w:t>
            </w:r>
            <w:r>
              <w:rPr>
                <w:sz w:val="24"/>
              </w:rPr>
              <w:t xml:space="preserve">Pełnoletni mieszkańcy gminy w większości nie zgodzili się ze stwierdzeniem jakby przemoc występowała tylko wtedy, gdy są widoczne ślady na ciele ofiary (89%) oraz że przemoc domowa to prywatna sprawa ofiary i oprawcy (82%). </w:t>
            </w:r>
          </w:p>
          <w:p>
            <w:pPr>
              <w:jc w:val="both"/>
            </w:pPr>
            <w:r>
              <w:t>·</w:t>
            </w:r>
            <w:r>
              <w:rPr>
                <w:sz w:val="24"/>
              </w:rPr>
              <w:t>93% mieszkańców gminy nie wie, gdzie można kupić narkotyki i/lub dopalacze.</w:t>
            </w:r>
          </w:p>
          <w:p>
            <w:pPr>
              <w:jc w:val="both"/>
            </w:pPr>
            <w:r>
              <w:t>·</w:t>
            </w:r>
            <w:r>
              <w:rPr>
                <w:sz w:val="24"/>
              </w:rPr>
              <w:t>Większość uczniów ma bardzo dobre oraz dobre relacje z rówieśnikami – co umożliwia budowanie poczucia własnej wartości.</w:t>
            </w:r>
          </w:p>
          <w:p>
            <w:pPr>
              <w:jc w:val="both"/>
            </w:pPr>
            <w:r>
              <w:t>·</w:t>
            </w:r>
            <w:r>
              <w:rPr>
                <w:sz w:val="24"/>
              </w:rPr>
              <w:t>Dorośli mieszkańcy odzwierciedlają postawy wobec picia alkoholu o średnim poziomie ryzyka.</w:t>
            </w:r>
          </w:p>
          <w:p>
            <w:pPr>
              <w:jc w:val="both"/>
            </w:pPr>
            <w:r>
              <w:t>·</w:t>
            </w:r>
            <w:r>
              <w:rPr>
                <w:sz w:val="24"/>
              </w:rPr>
              <w:t xml:space="preserve">Dorosła część mieszkańców Gminy Suwałki charakteryzuje się średnią świadomością konsekwencji picia alkoholu – co stanowi dobry wzór dla młodszej części społeczeństwa Gminy. </w:t>
            </w:r>
          </w:p>
          <w:p>
            <w:pPr>
              <w:jc w:val="both"/>
            </w:pPr>
            <w:r>
              <w:t>·</w:t>
            </w:r>
            <w:r>
              <w:rPr>
                <w:sz w:val="24"/>
              </w:rPr>
              <w:t>Uczniowie uważają, że w ich okolicy jest dużo ciekawych propozycji spędzenia wolnego czasu.</w:t>
            </w:r>
          </w:p>
          <w:p>
            <w:pPr>
              <w:jc w:val="both"/>
            </w:pPr>
            <w:r>
              <w:t>·</w:t>
            </w:r>
            <w:r>
              <w:rPr>
                <w:sz w:val="24"/>
              </w:rPr>
              <w:t>Badani uczniowie klas 4-8 nie eksperymentowali z narkotykami i/lub dopalaczami.</w:t>
            </w:r>
          </w:p>
        </w:tc>
        <w:tc>
          <w:tcPr>
            <w:tcW w:w="5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Migracja zarobkowa młodych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wykształconych osób do większych miast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 granicę.</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Starzenie się społeczeństwa (ujemny przyrost naturalny).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Zagrożenia funkcjonowania rodziny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związku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problemem uzależnień, bezrobocia, długo-trwałego ubóstwa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przemocy.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Niekorzystne wzorce zachowań (agresja, przemoc, uzależnienia) płynące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nowoczesnych mediów.</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Wzrost dostępności substancji psychoaktywnych dla dzieci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młodzieży oraz pojawianie się nowych rodzajów uzależnień.</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89% mieszkańców gminy nie</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wie, gdzie może szukać pomocy ofiara przemocy.</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 xml:space="preserve">Spora część ankietowanych mieszkańców zadeklarowała wiek inicjacji alkoholowej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 xml:space="preserve">i nikotynowej przed osiągnięciem pełnoletności. </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Uczniowie deklarują, iż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szkołach doświadczają przemocy rówieśniczej (55%).</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Uczniowie deklarują duże ilości czasu spędzanego przed ekranami – tj. smartfonem oraz komputerem. Co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rzeczywistości może oznaczać osłabione relacje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kompetencje emocjonalno-społeczne.</w:t>
            </w:r>
          </w:p>
          <w:p w:rsidR="00A77B3E">
            <w:pPr>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4"/>
                <w:u w:val="none" w:color="000000"/>
                <w:vertAlign w:val="baseline"/>
              </w:rPr>
              <w:t xml:space="preserve">Uczniowie dość często sięgają po napoje typu energetyki. </w:t>
            </w:r>
          </w:p>
        </w:tc>
      </w:tr>
    </w:tbl>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Rynek napojów alkoholowych</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Sprzedaż napojów alkoholowych do spożycia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miejscu lub poza miejscem sprzedaży może być prowadzona na podstawie zezwolenia wydanego przez Wójta Gminy Suwałki. Obecnie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naszej gminie kwestie limitów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dostępności do alkoholu reguluje uchwała Nr XLVI/400/18 Rady Gminy Suwałki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sierpnia 2018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ustalenia maksymalnej liczby zezwoleń na sprzedaż napojów alkoholowych oraz zasad usytuowania miejsc sprzedaży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podawania napojów alkoholowych na terenie Gminy Suwałki (Dz. Urz. Woj. Podlaskiego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3549,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3773).</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wyżej wymienioną uchwałą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Suwałki obowiązują następujące limity zezwoleń na sprzedaż napojów alkoholowych przeznaczonych do spożycia: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poza miejscem sprzedaży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ilości 60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zezwoleń:</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20 zezwoleń do 4,5% zawartości alkoholu oraz na piwo;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20 zezwoleń powyżej 4,5%  do 18% zawartości alkoholu (z wyjątkiem piwa);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20 zezwoleń  powyżej 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zawartości alkoholu.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miejscu sprzedaży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ilości 75:</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25  zezwoleń do 4,5% zawartości alkoholu oraz na piwo;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25 zezwoleń powyżej 4,5% do 18% zawartości alkoholu (z wyjątkiem piwa);</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25 zezwoleń powyżej 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zawartości alkoholu.</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wydano łącznie 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zezwoleń na sprzedaż napojów alkoholowych na terenie Gminy Suwałki.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347"/>
        <w:gridCol w:w="1485"/>
        <w:gridCol w:w="1815"/>
        <w:gridCol w:w="1770"/>
        <w:gridCol w:w="16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33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 xml:space="preserve">Kategoria </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2021</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2022</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2023</w:t>
            </w: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2024</w:t>
            </w:r>
          </w:p>
        </w:tc>
      </w:tr>
      <w:tr>
        <w:tblPrEx>
          <w:tblW w:w="5000" w:type="pct"/>
          <w:tblLayout w:type="fixed"/>
          <w:tblCellMar>
            <w:left w:w="108" w:type="dxa"/>
            <w:right w:w="108" w:type="dxa"/>
          </w:tblCellMar>
        </w:tblPrEx>
        <w:trPr>
          <w:trHeight w:hRule="auto" w:val="0"/>
        </w:trPr>
        <w:tc>
          <w:tcPr>
            <w:tcW w:w="33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do 4,5% zawartości alkoholu oraz piwo </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13</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8</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10</w:t>
            </w: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11</w:t>
            </w:r>
          </w:p>
        </w:tc>
      </w:tr>
      <w:tr>
        <w:tblPrEx>
          <w:tblW w:w="5000" w:type="pct"/>
          <w:tblLayout w:type="fixed"/>
          <w:tblCellMar>
            <w:left w:w="108" w:type="dxa"/>
            <w:right w:w="108" w:type="dxa"/>
          </w:tblCellMar>
        </w:tblPrEx>
        <w:trPr>
          <w:trHeight w:hRule="auto" w:val="0"/>
        </w:trPr>
        <w:tc>
          <w:tcPr>
            <w:tcW w:w="33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powyżej 4,5% do 18% zawartości alkoholu </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10</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3</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7</w:t>
            </w: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5</w:t>
            </w:r>
          </w:p>
        </w:tc>
      </w:tr>
      <w:tr>
        <w:tblPrEx>
          <w:tblW w:w="5000" w:type="pct"/>
          <w:tblLayout w:type="fixed"/>
          <w:tblCellMar>
            <w:left w:w="108" w:type="dxa"/>
            <w:right w:w="108" w:type="dxa"/>
          </w:tblCellMar>
        </w:tblPrEx>
        <w:trPr>
          <w:trHeight w:hRule="auto" w:val="0"/>
        </w:trPr>
        <w:tc>
          <w:tcPr>
            <w:tcW w:w="33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powyżej 18% zawartości alkoholu </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8</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9</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6</w:t>
            </w: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6</w:t>
            </w:r>
          </w:p>
        </w:tc>
      </w:tr>
      <w:tr>
        <w:tblPrEx>
          <w:tblW w:w="5000" w:type="pct"/>
          <w:tblLayout w:type="fixed"/>
          <w:tblCellMar>
            <w:left w:w="108" w:type="dxa"/>
            <w:right w:w="108" w:type="dxa"/>
          </w:tblCellMar>
        </w:tblPrEx>
        <w:trPr>
          <w:trHeight w:hRule="auto" w:val="0"/>
        </w:trPr>
        <w:tc>
          <w:tcPr>
            <w:tcW w:w="33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 xml:space="preserve">Łącznie </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31</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20</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23</w:t>
            </w:r>
          </w:p>
        </w:tc>
        <w:tc>
          <w:tcPr>
            <w:tcW w:w="16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22</w:t>
            </w:r>
          </w:p>
        </w:tc>
      </w:tr>
    </w:tbl>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na terenie Gminy Suwałki funkcjonowało ogółem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punktów sprzedaży napojów alkoholowych,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punktów detalicznych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19 punktów gastronomicznych.</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 punktów sprzedaży napojów alkoholowych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Suwałki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040"/>
        <w:gridCol w:w="2040"/>
        <w:gridCol w:w="2025"/>
        <w:gridCol w:w="39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2040" w:type="dxa"/>
            <w:vMerge w:val="restart"/>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Lata</w:t>
            </w:r>
          </w:p>
        </w:tc>
        <w:tc>
          <w:tcPr>
            <w:tcW w:w="80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 xml:space="preserve">Liczba punktów sprzedaży napojów alkoholowych </w:t>
            </w:r>
          </w:p>
        </w:tc>
      </w:tr>
      <w:tr>
        <w:tblPrEx>
          <w:tblW w:w="5000" w:type="pct"/>
          <w:tblLayout w:type="fixed"/>
          <w:tblCellMar>
            <w:left w:w="108" w:type="dxa"/>
            <w:right w:w="108" w:type="dxa"/>
          </w:tblCellMar>
        </w:tblPrEx>
        <w:trPr>
          <w:trHeight w:hRule="auto" w:val="0"/>
        </w:trPr>
        <w:tc>
          <w:tcPr>
            <w:tcW w:w="2040" w:type="dxa"/>
            <w:vMerge/>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 xml:space="preserve">ogółem </w:t>
            </w:r>
          </w:p>
        </w:tc>
        <w:tc>
          <w:tcPr>
            <w:tcW w:w="202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sklepy</w:t>
            </w:r>
          </w:p>
        </w:tc>
        <w:tc>
          <w:tcPr>
            <w:tcW w:w="39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 xml:space="preserve">Lokale gastronomiczne </w:t>
            </w:r>
          </w:p>
        </w:tc>
      </w:tr>
      <w:tr>
        <w:tblPrEx>
          <w:tblW w:w="5000" w:type="pct"/>
          <w:tblLayout w:type="fixed"/>
          <w:tblCellMar>
            <w:left w:w="108" w:type="dxa"/>
            <w:right w:w="108" w:type="dxa"/>
          </w:tblCellMar>
        </w:tblPrEx>
        <w:trPr>
          <w:trHeight w:hRule="auto" w:val="0"/>
        </w:trPr>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2021</w:t>
            </w:r>
          </w:p>
        </w:tc>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29</w:t>
            </w:r>
          </w:p>
        </w:tc>
        <w:tc>
          <w:tcPr>
            <w:tcW w:w="202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11</w:t>
            </w:r>
          </w:p>
        </w:tc>
        <w:tc>
          <w:tcPr>
            <w:tcW w:w="39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18</w:t>
            </w:r>
          </w:p>
        </w:tc>
      </w:tr>
      <w:tr>
        <w:tblPrEx>
          <w:tblW w:w="5000" w:type="pct"/>
          <w:tblLayout w:type="fixed"/>
          <w:tblCellMar>
            <w:left w:w="108" w:type="dxa"/>
            <w:right w:w="108" w:type="dxa"/>
          </w:tblCellMar>
        </w:tblPrEx>
        <w:trPr>
          <w:trHeight w:hRule="auto" w:val="0"/>
        </w:trPr>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2022</w:t>
            </w:r>
          </w:p>
        </w:tc>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28</w:t>
            </w:r>
          </w:p>
        </w:tc>
        <w:tc>
          <w:tcPr>
            <w:tcW w:w="202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11</w:t>
            </w:r>
          </w:p>
        </w:tc>
        <w:tc>
          <w:tcPr>
            <w:tcW w:w="39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17</w:t>
            </w:r>
          </w:p>
        </w:tc>
      </w:tr>
      <w:tr>
        <w:tblPrEx>
          <w:tblW w:w="5000" w:type="pct"/>
          <w:tblLayout w:type="fixed"/>
          <w:tblCellMar>
            <w:left w:w="108" w:type="dxa"/>
            <w:right w:w="108" w:type="dxa"/>
          </w:tblCellMar>
        </w:tblPrEx>
        <w:trPr>
          <w:trHeight w:hRule="auto" w:val="0"/>
        </w:trPr>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2023</w:t>
            </w:r>
          </w:p>
        </w:tc>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28</w:t>
            </w:r>
          </w:p>
        </w:tc>
        <w:tc>
          <w:tcPr>
            <w:tcW w:w="202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8</w:t>
            </w:r>
          </w:p>
        </w:tc>
        <w:tc>
          <w:tcPr>
            <w:tcW w:w="39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20</w:t>
            </w:r>
          </w:p>
        </w:tc>
      </w:tr>
      <w:tr>
        <w:tblPrEx>
          <w:tblW w:w="5000" w:type="pct"/>
          <w:tblLayout w:type="fixed"/>
          <w:tblCellMar>
            <w:left w:w="108" w:type="dxa"/>
            <w:right w:w="108" w:type="dxa"/>
          </w:tblCellMar>
        </w:tblPrEx>
        <w:trPr>
          <w:trHeight w:hRule="auto" w:val="0"/>
        </w:trPr>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2024</w:t>
            </w:r>
          </w:p>
        </w:tc>
        <w:tc>
          <w:tcPr>
            <w:tcW w:w="204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27</w:t>
            </w:r>
          </w:p>
        </w:tc>
        <w:tc>
          <w:tcPr>
            <w:tcW w:w="202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8</w:t>
            </w:r>
          </w:p>
        </w:tc>
        <w:tc>
          <w:tcPr>
            <w:tcW w:w="39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19</w:t>
            </w:r>
          </w:p>
        </w:tc>
      </w:tr>
    </w:tbl>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 punktów sprzedaży napojów alkoholowych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Suwałki utrzymuje się na podobnym poziomie.</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Liczba założonych ,,Niebieskich Kart” przez służby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75"/>
        <w:gridCol w:w="1485"/>
        <w:gridCol w:w="1485"/>
        <w:gridCol w:w="2715"/>
        <w:gridCol w:w="25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18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 xml:space="preserve">Służby </w:t>
            </w:r>
          </w:p>
        </w:tc>
        <w:tc>
          <w:tcPr>
            <w:tcW w:w="8205"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Liczba założonych Kart</w:t>
            </w:r>
          </w:p>
        </w:tc>
      </w:tr>
      <w:tr>
        <w:tblPrEx>
          <w:tblW w:w="5000" w:type="pct"/>
          <w:tblLayout w:type="fixed"/>
          <w:tblCellMar>
            <w:left w:w="108" w:type="dxa"/>
            <w:right w:w="108" w:type="dxa"/>
          </w:tblCellMar>
        </w:tblPrEx>
        <w:trPr>
          <w:trHeight w:hRule="auto" w:val="0"/>
        </w:trPr>
        <w:tc>
          <w:tcPr>
            <w:tcW w:w="18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2021</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2022</w:t>
            </w:r>
          </w:p>
        </w:tc>
        <w:tc>
          <w:tcPr>
            <w:tcW w:w="27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2023</w:t>
            </w:r>
          </w:p>
        </w:tc>
        <w:tc>
          <w:tcPr>
            <w:tcW w:w="252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2024</w:t>
            </w:r>
          </w:p>
        </w:tc>
      </w:tr>
      <w:tr>
        <w:tblPrEx>
          <w:tblW w:w="5000" w:type="pct"/>
          <w:tblLayout w:type="fixed"/>
          <w:tblCellMar>
            <w:left w:w="108" w:type="dxa"/>
            <w:right w:w="108" w:type="dxa"/>
          </w:tblCellMar>
        </w:tblPrEx>
        <w:trPr>
          <w:trHeight w:hRule="auto" w:val="0"/>
        </w:trPr>
        <w:tc>
          <w:tcPr>
            <w:tcW w:w="18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Gminny Ośrodek Pomocy zwany dalej – GOPS/Oświata</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w:t>
            </w:r>
          </w:p>
        </w:tc>
        <w:tc>
          <w:tcPr>
            <w:tcW w:w="27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4</w:t>
            </w:r>
          </w:p>
        </w:tc>
        <w:tc>
          <w:tcPr>
            <w:tcW w:w="252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3</w:t>
            </w:r>
          </w:p>
        </w:tc>
      </w:tr>
      <w:tr>
        <w:tblPrEx>
          <w:tblW w:w="5000" w:type="pct"/>
          <w:tblLayout w:type="fixed"/>
          <w:tblCellMar>
            <w:left w:w="108" w:type="dxa"/>
            <w:right w:w="108" w:type="dxa"/>
          </w:tblCellMar>
        </w:tblPrEx>
        <w:trPr>
          <w:trHeight w:hRule="auto" w:val="0"/>
        </w:trPr>
        <w:tc>
          <w:tcPr>
            <w:tcW w:w="18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Gminna Komisja Rozwiązywania Problemów Alkoholowych   - zwana dalej GKRPA</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0</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0</w:t>
            </w:r>
          </w:p>
        </w:tc>
        <w:tc>
          <w:tcPr>
            <w:tcW w:w="27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0</w:t>
            </w:r>
          </w:p>
        </w:tc>
        <w:tc>
          <w:tcPr>
            <w:tcW w:w="252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0</w:t>
            </w:r>
          </w:p>
        </w:tc>
      </w:tr>
      <w:tr>
        <w:tblPrEx>
          <w:tblW w:w="5000" w:type="pct"/>
          <w:tblLayout w:type="fixed"/>
          <w:tblCellMar>
            <w:left w:w="108" w:type="dxa"/>
            <w:right w:w="108" w:type="dxa"/>
          </w:tblCellMar>
        </w:tblPrEx>
        <w:trPr>
          <w:trHeight w:hRule="auto" w:val="0"/>
        </w:trPr>
        <w:tc>
          <w:tcPr>
            <w:tcW w:w="18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Komenda Miejska Policji w Suwałkach -zwana dalej KMP </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18</w:t>
            </w:r>
          </w:p>
        </w:tc>
        <w:tc>
          <w:tcPr>
            <w:tcW w:w="148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17</w:t>
            </w:r>
          </w:p>
        </w:tc>
        <w:tc>
          <w:tcPr>
            <w:tcW w:w="27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17</w:t>
            </w:r>
          </w:p>
        </w:tc>
        <w:tc>
          <w:tcPr>
            <w:tcW w:w="252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17</w:t>
            </w:r>
          </w:p>
        </w:tc>
      </w:tr>
    </w:tbl>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Tabela wskazuje, że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liczba złożonych wniosków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wszczęcie procedury „Niebieskiej Karty” utrzymuje się na tym samym poziomie.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analizowanych latach, to głównie funkcjonariusze Policji uruchamiali procedurę „Niebieskiej Karty”.</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 Gminnej Komisji Rozwiązywania Problemów Alkoholowych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Suwałkach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wpłynęło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28 wnioski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wszczęcie procedury zobowiązania do leczenia odwykowego.</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Dane liczbowe dotyczące postępowań prowadzonych przez GKRPA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Suwałkach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467"/>
        <w:gridCol w:w="1395"/>
        <w:gridCol w:w="1815"/>
        <w:gridCol w:w="1770"/>
        <w:gridCol w:w="16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34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c>
          <w:tcPr>
            <w:tcW w:w="13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2021</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2022</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2023</w:t>
            </w:r>
          </w:p>
        </w:tc>
        <w:tc>
          <w:tcPr>
            <w:tcW w:w="16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2024</w:t>
            </w:r>
          </w:p>
        </w:tc>
      </w:tr>
      <w:tr>
        <w:tblPrEx>
          <w:tblW w:w="5000" w:type="pct"/>
          <w:tblLayout w:type="fixed"/>
          <w:tblCellMar>
            <w:left w:w="108" w:type="dxa"/>
            <w:right w:w="108" w:type="dxa"/>
          </w:tblCellMar>
        </w:tblPrEx>
        <w:trPr>
          <w:trHeight w:hRule="auto" w:val="0"/>
        </w:trPr>
        <w:tc>
          <w:tcPr>
            <w:tcW w:w="34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Liczba nowych wniosków, które wpłynęły do GKRPA </w:t>
            </w:r>
          </w:p>
        </w:tc>
        <w:tc>
          <w:tcPr>
            <w:tcW w:w="13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16</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21</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22</w:t>
            </w:r>
          </w:p>
        </w:tc>
        <w:tc>
          <w:tcPr>
            <w:tcW w:w="16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28</w:t>
            </w:r>
          </w:p>
        </w:tc>
      </w:tr>
      <w:tr>
        <w:tblPrEx>
          <w:tblW w:w="5000" w:type="pct"/>
          <w:tblLayout w:type="fixed"/>
          <w:tblCellMar>
            <w:left w:w="108" w:type="dxa"/>
            <w:right w:w="108" w:type="dxa"/>
          </w:tblCellMar>
        </w:tblPrEx>
        <w:trPr>
          <w:trHeight w:hRule="auto" w:val="0"/>
        </w:trPr>
        <w:tc>
          <w:tcPr>
            <w:tcW w:w="34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Liczba wniosków skierowanych do sądu</w:t>
            </w:r>
          </w:p>
        </w:tc>
        <w:tc>
          <w:tcPr>
            <w:tcW w:w="13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5</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6</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7</w:t>
            </w:r>
          </w:p>
        </w:tc>
        <w:tc>
          <w:tcPr>
            <w:tcW w:w="16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5</w:t>
            </w:r>
          </w:p>
        </w:tc>
      </w:tr>
      <w:tr>
        <w:tblPrEx>
          <w:tblW w:w="5000" w:type="pct"/>
          <w:tblLayout w:type="fixed"/>
          <w:tblCellMar>
            <w:left w:w="108" w:type="dxa"/>
            <w:right w:w="108" w:type="dxa"/>
          </w:tblCellMar>
        </w:tblPrEx>
        <w:trPr>
          <w:trHeight w:hRule="auto" w:val="0"/>
        </w:trPr>
        <w:tc>
          <w:tcPr>
            <w:tcW w:w="346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Liczba spraw umorzonych/zakończonych   </w:t>
            </w:r>
          </w:p>
        </w:tc>
        <w:tc>
          <w:tcPr>
            <w:tcW w:w="139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w:t>
            </w:r>
          </w:p>
        </w:tc>
        <w:tc>
          <w:tcPr>
            <w:tcW w:w="181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2</w:t>
            </w:r>
          </w:p>
        </w:tc>
        <w:tc>
          <w:tcPr>
            <w:tcW w:w="1770"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6</w:t>
            </w:r>
          </w:p>
        </w:tc>
        <w:tc>
          <w:tcPr>
            <w:tcW w:w="163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4"/>
              </w:rPr>
              <w:t>5</w:t>
            </w:r>
          </w:p>
        </w:tc>
      </w:tr>
    </w:tbl>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Źródło: Miejska Komisja Rozwiązywania Problemów Alkoholowych w</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Suwałkach</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liczba nowych wniosków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wszczęcie procedury zobowiązania do leczenia odwykowego  w stosunku do 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zwiększyła się (o 6), liczba wniosków skierowanych do sądu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zobowiązanie do podjęcia leczenia odwykowego  zmniejszyła  się (o 2), liczba spraw umorzonych/zakończonych zmniejszyła się (o 1).</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Cel główny Programu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Celem głównym Gminnego Programu jest ograniczenie negatywnych konsekwencji społecznych,</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w tym szczególnie szkód zdrowotnych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zaburzeń życia rodzinnego,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używania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alkoholu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substancji psychoaktywnych oraz zjawiska picia alkoholu, używania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narkotyków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rozpowszechnianie wiedzy na temat zagrożeń, przyczyn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skutków oraz czynników  chroniących przed uzależnieniami behawioralnymi.</w:t>
      </w:r>
    </w:p>
    <w:p w:rsidR="00A77B3E">
      <w:pPr>
        <w:keepNext w:val="0"/>
        <w:keepLines w:val="0"/>
        <w:spacing w:before="120" w:after="120" w:line="240" w:lineRule="auto"/>
        <w:ind w:left="0"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Powyższe cele będą realizowane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kształtowanie właściwych postaw wobec picia alkoholu, zagrożeń behawioralnych, używania narkotyków oraz podejmowania innych zachowań ryzykownych,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tylko przez dzieci i młodzież, ale także dorosłych mieszkańców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zwiększanie świadomości społecznej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problematyki związanej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używaniem substancji psychoaktywnych;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wspieranie działań edukacyjnych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szkodliwości spożywania alkoholu, zagrożeń behawioralnych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zażywania innych środków psychoaktywnych, promowanie abstynencji i postaw trzeźwościowych;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redukcję szkód zdrowotnych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społecznych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używaniem środków psychoaktywnych oraz przeciwdziałanie innym uzależnieniom;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przeciwdziałaniu przemocy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rodzinie.</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Realizacja powyższych celów przełoży się na zwiększenie jakości życia mieszkańców. Cele</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te zostaną osiągnięte poprzez podjęcie skoordynowanych działań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obszarze profilaktyki realizowanej na trzech poziomach (uniwersalna, selektywna, wskazująca), będącej jednym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szeregu działań służących ochronie zdrowia, zmierzającej do zapobiegania problemom związanym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używaniem substancji psychoaktywnych oraz uzależnieniom behawioralnym.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przeprowadzonych dotychczas obserwacji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analiz jednoznacznie wynika, że problem uzależnień wciąż jest niepokojącym zjawiskiem społecznym, który dotyka wszystkie grupy społeczne, niezależnie od pochodzenia, statusu, czy sytuacji ekonomicznej. Dlatego oddziaływania profilaktyczne powinny być realizowane we wszystkich sferach życia społecznego – szkolnej, rodzinnej, rówieśniczej, publicznej, medialnej itp. Badania naukowe na temat czynników ryzyka związanego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uzależnieniami wykazały, iż jedynym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najważniejszych czynników chroniących młodych ludzi przed szkodami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nich wynikającymi są pozytywne wzorce rodzinne oraz silna więź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Zadania realizacji Programu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Zadania realizacji Programu wynikające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2015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zdrowiu publicznym 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1982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alkoholizmowi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2005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narkomanii.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5"/>
        <w:gridCol w:w="30"/>
        <w:gridCol w:w="3855"/>
        <w:gridCol w:w="720"/>
        <w:gridCol w:w="15"/>
        <w:gridCol w:w="1830"/>
        <w:gridCol w:w="795"/>
        <w:gridCol w:w="15"/>
        <w:gridCol w:w="21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10080" w:type="dxa"/>
            <w:gridSpan w:val="9"/>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p>
            <w:pPr>
              <w:jc w:val="left"/>
            </w:pPr>
            <w:r>
              <w:rPr>
                <w:b/>
                <w:sz w:val="24"/>
              </w:rPr>
              <w:t>1. Zwiększanie dostępności pomocy terapeutycznej i rehabilitacyjnej dla osób uzależnionych od alkoholu i narkotyków</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L.P</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Planowane</w:t>
            </w:r>
          </w:p>
          <w:p>
            <w:pPr>
              <w:jc w:val="left"/>
            </w:pPr>
            <w:r>
              <w:rPr>
                <w:b/>
                <w:sz w:val="24"/>
              </w:rPr>
              <w:t>działania</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Wskaźniki</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Źródło pozyskiwania wskaźników</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1)</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Wspieranie organizacji, instytucji pozarządowych, stowarzyszeń i kościoła realizujących programy edukacyjne, profilaktyczne i rehabilitacyjne dla osób zagrożonych uzależnieniami.</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-liczba udzielonych dotacji</w:t>
            </w:r>
          </w:p>
          <w:p>
            <w:pPr>
              <w:jc w:val="left"/>
            </w:pPr>
            <w:r>
              <w:rPr>
                <w:sz w:val="24"/>
              </w:rPr>
              <w:t xml:space="preserve">- wysokość przeznaczonych środków finansowych </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dokumentacja własna Urzędu Gminy</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2)</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rPr>
                <w:sz w:val="24"/>
              </w:rPr>
              <w:t>Zakup i dystrybucja materiałów  informacyjno-edukacyjno-dydaktycznych dotyczących istoty uzależnień i zachowań ryzykownych.</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liczba zakupionych materiałów</w:t>
            </w:r>
          </w:p>
          <w:p>
            <w:pPr>
              <w:jc w:val="left"/>
            </w:pPr>
            <w:r>
              <w:rPr>
                <w:sz w:val="24"/>
              </w:rPr>
              <w:t>- wysokość przeznaczonych środków finansowych</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-dokumentacja własna Urzędu Gminy</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3)</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rPr>
                <w:sz w:val="24"/>
              </w:rPr>
              <w:t>Kierowanie na badanie w przedmiocie uzależnienia od alkoholu osób nadużywających alkoholu - finansowanie badań  psychiatryczno -  psychologicznych oraz pokrywanie kosztów sądowych w sprawach o zobowiązanie do podjęcia  leczenia odwykowego.</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-liczba przeprowadzonych badań</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dokumentacja własna  Urzędu Gminy </w:t>
            </w:r>
          </w:p>
          <w:p>
            <w:pPr>
              <w:jc w:val="left"/>
            </w:pPr>
            <w:r>
              <w:rPr>
                <w:sz w:val="24"/>
              </w:rPr>
              <w:t>- sprawozdania z realizacji programów</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4)</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r>
              <w:rPr>
                <w:sz w:val="24"/>
              </w:rPr>
              <w:t>Finansowanie Punktu Informacyjno-Konsultacyjnego, w zakresie uzależnień.</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-wysokość przeznaczonych środków finansowych</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Sprawozdanie z działalności punktu</w:t>
            </w:r>
          </w:p>
        </w:tc>
      </w:tr>
      <w:tr>
        <w:tblPrEx>
          <w:tblW w:w="5000" w:type="pct"/>
          <w:tblLayout w:type="fixed"/>
          <w:tblCellMar>
            <w:left w:w="108" w:type="dxa"/>
            <w:right w:w="108" w:type="dxa"/>
          </w:tblCellMar>
        </w:tblPrEx>
        <w:trPr>
          <w:trHeight w:hRule="auto" w:val="0"/>
        </w:trPr>
        <w:tc>
          <w:tcPr>
            <w:tcW w:w="10080" w:type="dxa"/>
            <w:gridSpan w:val="9"/>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2. Udzielanie rodzinom, w których występują problemy choroby alkoholowej, narkomanii lub przemocy w rodzinie - pomocy psychospołecznej i prawnej</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sz w:val="24"/>
              </w:rPr>
              <w:t>1)</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Prowadzenie Punktu Konsultacyjnego dla</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osób uzależnionych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członków rodzin z</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problemem alkoholowym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narkomanii oraz</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osób dotkniętych przemocą domową.</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liczba udzielonych porad </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dokumentacja własna Urzędu Gminy </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2)</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both"/>
              <w:rPr>
                <w:rFonts w:ascii="Times New Roman" w:eastAsia="Times New Roman" w:hAnsi="Times New Roman" w:cs="Times New Roman"/>
                <w:b w:val="0"/>
                <w:i w:val="0"/>
                <w:caps w:val="0"/>
                <w:strike w:val="0"/>
                <w:color w:val="000000"/>
                <w:sz w:val="22"/>
                <w:u w:val="none" w:color="000000"/>
                <w:vertAlign w:val="baseline"/>
              </w:rPr>
            </w:pPr>
            <w:r>
              <w:rPr>
                <w:sz w:val="24"/>
              </w:rPr>
              <w:t>Realizacja  działań informacyjnych i programów edukacyjno – profilaktycznych, psychoterapii uzależnienia, maratonów i zajęć terapeutycznych dla osób uzależnionych oraz osób doznających przemocy w rodzinie.</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 liczba działań</w:t>
            </w:r>
          </w:p>
          <w:p>
            <w:pPr>
              <w:jc w:val="left"/>
            </w:pPr>
            <w:r>
              <w:rPr>
                <w:sz w:val="24"/>
              </w:rPr>
              <w:t xml:space="preserve">- liczba odbiorców </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dokumentacja własna Urzędu Gminy </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3)</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Organizacja i dofinansowanie szkoleń, kursów specjalistycznych dla poszczególnych grup zawodowych (pedagogów, nauczycieli, pracowników socjalnych) w zakresie rozwijania  kompetencji  i umiejętności  pracy  z rodzicami  borykającymi się  z problemem  przemocy, czy też  uzależnieniami  profilaktyki uzależnień.</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p>
          <w:p>
            <w:pPr>
              <w:jc w:val="left"/>
            </w:pPr>
            <w:r>
              <w:rPr>
                <w:sz w:val="24"/>
              </w:rPr>
              <w:t xml:space="preserve">-liczba szkoleń </w:t>
            </w:r>
          </w:p>
          <w:p>
            <w:pPr>
              <w:jc w:val="left"/>
            </w:pPr>
            <w:r>
              <w:rPr>
                <w:sz w:val="24"/>
              </w:rPr>
              <w:t>-liczba odbiorców</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dokumentacja własna Urzędu Gminy </w:t>
            </w:r>
          </w:p>
        </w:tc>
      </w:tr>
      <w:tr>
        <w:tblPrEx>
          <w:tblW w:w="5000" w:type="pct"/>
          <w:tblLayout w:type="fixed"/>
          <w:tblCellMar>
            <w:left w:w="108" w:type="dxa"/>
            <w:right w:w="108" w:type="dxa"/>
          </w:tblCellMar>
        </w:tblPrEx>
        <w:trPr>
          <w:trHeight w:hRule="auto" w:val="0"/>
        </w:trPr>
        <w:tc>
          <w:tcPr>
            <w:tcW w:w="10080" w:type="dxa"/>
            <w:gridSpan w:val="9"/>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b/>
                <w:sz w:val="24"/>
              </w:rPr>
              <w:t xml:space="preserve">3. Prowadzenie profilaktycznej działalności informacyjnej i edukacyjnej oraz działalności szkoleniowej w zakresie rozwiązywania problemów alkoholowych, przeciwdziałania narkomanii oraz uzależnieniom behawioralnym i przemocy w rodzinie </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1)</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both"/>
              <w:rPr>
                <w:rFonts w:ascii="Times New Roman" w:eastAsia="Times New Roman" w:hAnsi="Times New Roman" w:cs="Times New Roman"/>
                <w:b w:val="0"/>
                <w:i w:val="0"/>
                <w:caps w:val="0"/>
                <w:strike w:val="0"/>
                <w:color w:val="000000"/>
                <w:sz w:val="22"/>
                <w:u w:val="none" w:color="000000"/>
                <w:vertAlign w:val="baseline"/>
              </w:rPr>
            </w:pPr>
            <w:r>
              <w:rPr>
                <w:sz w:val="24"/>
              </w:rPr>
              <w:t>Realizowanie programów profilaktycznych oraz warsztatów szkoleniowych i konferencji i innych zajęć w szkołach dla uczniów (np.: sportowych), rodziców, nauczycieli i innych grup zawodowych; uczenie umiejętności służących zdrowemu i trzeźwemu życiu oraz informowanie o szkodliwości alkoholu i innych substancji oraz zachowań.</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spacing w:before="120" w:after="120"/>
              <w:jc w:val="left"/>
              <w:rPr>
                <w:rFonts w:ascii="Times New Roman" w:eastAsia="Times New Roman" w:hAnsi="Times New Roman" w:cs="Times New Roman"/>
                <w:b w:val="0"/>
                <w:i w:val="0"/>
                <w:caps w:val="0"/>
                <w:strike w:val="0"/>
                <w:color w:val="000000"/>
                <w:sz w:val="22"/>
                <w:u w:val="none" w:color="000000"/>
                <w:vertAlign w:val="baseline"/>
              </w:rPr>
            </w:pPr>
            <w:r>
              <w:rPr>
                <w:sz w:val="24"/>
              </w:rPr>
              <w:t>-liczba  przeprowadzonych programów</w:t>
            </w:r>
          </w:p>
          <w:p>
            <w:pPr>
              <w:jc w:val="left"/>
            </w:pPr>
            <w:r>
              <w:rPr>
                <w:sz w:val="24"/>
              </w:rPr>
              <w:t>- wysokość przeznaczonych środków finansowych</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 sprawozdania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realizacji programów</w:t>
            </w:r>
            <w:r>
              <w:rPr>
                <w:rFonts w:ascii="Times New Roman" w:eastAsia="Times New Roman" w:hAnsi="Times New Roman" w:cs="Times New Roman"/>
                <w:b w:val="0"/>
                <w:i w:val="0"/>
                <w:caps w:val="0"/>
                <w:strike w:val="0"/>
                <w:color w:val="000000"/>
                <w:sz w:val="24"/>
                <w:u w:val="none" w:color="000000"/>
                <w:vertAlign w:val="baseline"/>
              </w:rPr>
              <w:br/>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2)</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4"/>
                <w:u w:val="none" w:color="000000"/>
                <w:vertAlign w:val="baseline"/>
              </w:rPr>
              <w:t>Włączenie się do ogólnopolskich działań informacyjno - edukacyjnych,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tym kampanii edukacyjnych dotyczących ryzyka szkód wynikających ze spożywania alkoholu, środków odurzających, substancji psychoaktywnych, środków zastępczych, nowych środków psychoaktywnych oraz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zakresu uzależnień behawioralnych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przeciwdziałania przemocy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w rodzinie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 xml:space="preserve">tym zakup oraz dystrybucja materiałów informacyjno – edukacyjnych </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val="0"/>
                <w:i w:val="0"/>
                <w:caps w:val="0"/>
                <w:strike w:val="0"/>
                <w:color w:val="000000"/>
                <w:sz w:val="24"/>
                <w:u w:val="none" w:color="000000"/>
                <w:vertAlign w:val="baseline"/>
              </w:rPr>
              <w:t>z zakresu problemów alkoholowych, przeciwdziałania narkomanii, uzależnień behawioralnych i</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używania tzw. dopalaczy oraz przeciwdziałania przemocy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rodzinie.</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liczba podjętych przedsięwzięć</w:t>
            </w:r>
          </w:p>
          <w:p>
            <w:pPr>
              <w:jc w:val="left"/>
            </w:pPr>
            <w:r>
              <w:rPr>
                <w:sz w:val="24"/>
              </w:rPr>
              <w:t xml:space="preserve">, </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dokumenty finansowe </w:t>
            </w:r>
          </w:p>
          <w:p>
            <w:pPr>
              <w:jc w:val="left"/>
            </w:pPr>
            <w:r>
              <w:rPr>
                <w:sz w:val="24"/>
              </w:rPr>
              <w:t xml:space="preserve">- dokumentacja własna Urzędu Gminy </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3)</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Zakup oraz dystrybucja materiałów informacyjno – edukacyjnych z zakresu problemów alkoholowych, przeciwdziałania narkomanii, uzależnień behawioralnych i używania tzw. dopalaczy oraz przeciwdziałania przemocy w rodzinie.</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liczba zakupionych materiałów </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dokumenty finansowe</w:t>
            </w:r>
          </w:p>
          <w:p>
            <w:pPr>
              <w:jc w:val="left"/>
            </w:pPr>
            <w:r>
              <w:rPr>
                <w:sz w:val="24"/>
              </w:rPr>
              <w:t xml:space="preserve">- dokumentacja własna Urzędu Gminy </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4)</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Doskonalenie umiejętności członków Gminnej Komisji poprzez udział w szkoleniach, konferencjach i innych formach kształcenia podnoszących kompetencje niezbędne do pracy.</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 liczba szkoleń</w:t>
            </w:r>
          </w:p>
          <w:p>
            <w:pPr>
              <w:jc w:val="left"/>
            </w:pPr>
            <w:r>
              <w:rPr>
                <w:sz w:val="24"/>
              </w:rPr>
              <w:t>- liczba członków biorących udział w szkoleniu</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dokumenty finansowe</w:t>
            </w:r>
          </w:p>
          <w:p>
            <w:pPr>
              <w:jc w:val="left"/>
            </w:pPr>
            <w:r>
              <w:rPr>
                <w:sz w:val="24"/>
              </w:rPr>
              <w:t xml:space="preserve">- dokumentacja własna Urzędu Gminy </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5)</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Finansowanie lokalnych imprez i wydarzeń o charakterze integracyjnym, rekreacyjnym, sportowym, kampanii edukacyjnych o tematyce przeciwdziałania uzależnieniom, przemocy w rodzinie.</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liczba spotkań</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dokumentacja finansowa Urzędu Gminy</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6)</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Współpracy z rodzicami dzieci i młodzieży zagrożonych uzależnieniem.</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liczba szkoleń</w:t>
            </w:r>
          </w:p>
          <w:p>
            <w:pPr>
              <w:jc w:val="left"/>
            </w:pPr>
            <w:r>
              <w:rPr>
                <w:sz w:val="24"/>
              </w:rPr>
              <w:t xml:space="preserve">- liczba zakupionych materiałów </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dokumentacja finansowa Urzędu Gminy</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7)</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Doposażenie bibliotek szkolnych  w literaturę z zakresu profilaktyki uzależnień od alkoholu, narkotyków, innych uzależnień oraz przemocy.</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liczba zakupionych materiałów </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-dokumentacja finansowa Urzędu Gminy</w:t>
            </w:r>
          </w:p>
        </w:tc>
      </w:tr>
      <w:tr>
        <w:tblPrEx>
          <w:tblW w:w="5000" w:type="pct"/>
          <w:tblLayout w:type="fixed"/>
          <w:tblCellMar>
            <w:left w:w="108" w:type="dxa"/>
            <w:right w:w="108" w:type="dxa"/>
          </w:tblCellMar>
        </w:tblPrEx>
        <w:trPr>
          <w:trHeight w:hRule="auto" w:val="0"/>
        </w:trPr>
        <w:tc>
          <w:tcPr>
            <w:tcW w:w="67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8)</w:t>
            </w:r>
          </w:p>
        </w:tc>
        <w:tc>
          <w:tcPr>
            <w:tcW w:w="4620" w:type="dxa"/>
            <w:gridSpan w:val="4"/>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 xml:space="preserve">Prowadzenie działań na rzecz przeciwdziałania nietrzeźwości kierowców oraz bezpieczeństwa ruchu drogowego (udział w kampaniach społecznych. </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zakup materiałów edukacyjnych, itp.).</w:t>
            </w:r>
          </w:p>
        </w:tc>
        <w:tc>
          <w:tcPr>
            <w:tcW w:w="2145" w:type="dxa"/>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-dokumentacja finansowa Urzędu Gminy</w:t>
            </w:r>
          </w:p>
        </w:tc>
      </w:tr>
      <w:tr>
        <w:tblPrEx>
          <w:tblW w:w="5000" w:type="pct"/>
          <w:tblLayout w:type="fixed"/>
          <w:tblCellMar>
            <w:left w:w="108" w:type="dxa"/>
            <w:right w:w="108" w:type="dxa"/>
          </w:tblCellMar>
        </w:tblPrEx>
        <w:trPr>
          <w:trHeight w:hRule="auto" w:val="0"/>
        </w:trPr>
        <w:tc>
          <w:tcPr>
            <w:tcW w:w="10080" w:type="dxa"/>
            <w:gridSpan w:val="9"/>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b/>
                <w:sz w:val="24"/>
              </w:rPr>
              <w:t>4. Podejmowanie interwencji w związku z naruszeniem przepisów określonych w art.13 1 i art. 15 ustawy o wychowaniu w trzeźwości i przeciwdziałaniu alkoholizmowi oraz występowanie przed sądem w charakterze oskarżyciela publicznego</w:t>
            </w:r>
            <w:r>
              <w:rPr>
                <w:b/>
                <w:i/>
                <w:sz w:val="24"/>
              </w:rPr>
              <w:t>.</w:t>
            </w:r>
          </w:p>
        </w:tc>
      </w:tr>
      <w:tr>
        <w:tblPrEx>
          <w:tblW w:w="5000" w:type="pct"/>
          <w:tblLayout w:type="fixed"/>
          <w:tblCellMar>
            <w:left w:w="108" w:type="dxa"/>
            <w:right w:w="108" w:type="dxa"/>
          </w:tblCellMar>
        </w:tblPrEx>
        <w:trPr>
          <w:trHeight w:hRule="auto" w:val="0"/>
        </w:trPr>
        <w:tc>
          <w:tcPr>
            <w:tcW w:w="456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Zwiększanie skuteczności w przestrzeganiu prawa w zakresie reklamy, promocji sprzedaży oraz spożywania napojów alkoholowych.</w:t>
            </w:r>
          </w:p>
        </w:tc>
        <w:tc>
          <w:tcPr>
            <w:tcW w:w="2565"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-liczba przekazanych broszur informacyjnych</w:t>
            </w:r>
          </w:p>
        </w:tc>
        <w:tc>
          <w:tcPr>
            <w:tcW w:w="2955"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-dokumentacja finansowa</w:t>
            </w:r>
          </w:p>
          <w:p>
            <w:pPr>
              <w:jc w:val="left"/>
            </w:pPr>
            <w:r>
              <w:rPr>
                <w:sz w:val="24"/>
              </w:rPr>
              <w:t>-dokumentacja</w:t>
            </w:r>
          </w:p>
          <w:p>
            <w:pPr>
              <w:jc w:val="left"/>
            </w:pPr>
            <w:r>
              <w:rPr>
                <w:sz w:val="24"/>
              </w:rPr>
              <w:t xml:space="preserve"> własna Urzędu Gminy </w:t>
            </w:r>
          </w:p>
        </w:tc>
      </w:tr>
      <w:tr>
        <w:tblPrEx>
          <w:tblW w:w="5000" w:type="pct"/>
          <w:tblLayout w:type="fixed"/>
          <w:tblCellMar>
            <w:left w:w="108" w:type="dxa"/>
            <w:right w:w="108" w:type="dxa"/>
          </w:tblCellMar>
        </w:tblPrEx>
        <w:trPr>
          <w:trHeight w:hRule="auto" w:val="0"/>
        </w:trPr>
        <w:tc>
          <w:tcPr>
            <w:tcW w:w="456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Zmniejszenie dostępności fizycznej i ekonomicznej alkoholu</w:t>
            </w:r>
          </w:p>
        </w:tc>
        <w:tc>
          <w:tcPr>
            <w:tcW w:w="2565"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-liczba przeprowadzonych kontroli</w:t>
            </w:r>
          </w:p>
        </w:tc>
        <w:tc>
          <w:tcPr>
            <w:tcW w:w="2955"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dokumentacja</w:t>
            </w:r>
          </w:p>
          <w:p>
            <w:pPr>
              <w:jc w:val="left"/>
            </w:pPr>
            <w:r>
              <w:rPr>
                <w:sz w:val="24"/>
              </w:rPr>
              <w:t xml:space="preserve"> własna Urzędu Gminy </w:t>
            </w:r>
          </w:p>
        </w:tc>
      </w:tr>
      <w:tr>
        <w:tblPrEx>
          <w:tblW w:w="5000" w:type="pct"/>
          <w:tblLayout w:type="fixed"/>
          <w:tblCellMar>
            <w:left w:w="108" w:type="dxa"/>
            <w:right w:w="108" w:type="dxa"/>
          </w:tblCellMar>
        </w:tblPrEx>
        <w:trPr>
          <w:trHeight w:hRule="auto" w:val="0"/>
        </w:trPr>
        <w:tc>
          <w:tcPr>
            <w:tcW w:w="456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Podnoszenie kompetencji sprzedawców napojów alkoholowych</w:t>
            </w:r>
          </w:p>
        </w:tc>
        <w:tc>
          <w:tcPr>
            <w:tcW w:w="2565"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-liczba punktów w których przeprowadzono szkolenia</w:t>
            </w:r>
          </w:p>
          <w:p>
            <w:pPr>
              <w:jc w:val="left"/>
            </w:pPr>
            <w:r>
              <w:rPr>
                <w:sz w:val="24"/>
              </w:rPr>
              <w:t>- materiały informacyjne</w:t>
            </w:r>
          </w:p>
        </w:tc>
        <w:tc>
          <w:tcPr>
            <w:tcW w:w="2955"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dokumentacja finansowa</w:t>
            </w:r>
          </w:p>
          <w:p>
            <w:pPr>
              <w:jc w:val="left"/>
            </w:pPr>
            <w:r>
              <w:rPr>
                <w:sz w:val="24"/>
              </w:rPr>
              <w:t>- dokumentacja</w:t>
            </w:r>
          </w:p>
          <w:p>
            <w:pPr>
              <w:jc w:val="left"/>
            </w:pPr>
            <w:r>
              <w:rPr>
                <w:sz w:val="24"/>
              </w:rPr>
              <w:t xml:space="preserve"> własna Urzędu Gminy </w:t>
            </w:r>
          </w:p>
        </w:tc>
      </w:tr>
      <w:tr>
        <w:tblPrEx>
          <w:tblW w:w="5000" w:type="pct"/>
          <w:tblLayout w:type="fixed"/>
          <w:tblCellMar>
            <w:left w:w="108" w:type="dxa"/>
            <w:right w:w="108" w:type="dxa"/>
          </w:tblCellMar>
        </w:tblPrEx>
        <w:trPr>
          <w:trHeight w:hRule="auto" w:val="0"/>
        </w:trPr>
        <w:tc>
          <w:tcPr>
            <w:tcW w:w="10080" w:type="dxa"/>
            <w:gridSpan w:val="9"/>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4"/>
                <w:u w:val="none" w:color="000000"/>
                <w:vertAlign w:val="baseline"/>
              </w:rPr>
              <w:t>5. Wspomaganie działalności instytucji, stowarzyszeń i</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osób fizycznych, służącej rozwiązywaniu </w:t>
            </w:r>
            <w:r>
              <w:rPr>
                <w:rFonts w:ascii="Times New Roman" w:eastAsia="Times New Roman" w:hAnsi="Times New Roman" w:cs="Times New Roman"/>
                <w:b/>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problemów uzależnień oraz przemocy w</w:t>
            </w:r>
            <w:r>
              <w:rPr>
                <w:rFonts w:ascii="Times New Roman" w:eastAsia="Times New Roman" w:hAnsi="Times New Roman" w:cs="Times New Roman"/>
                <w:b/>
                <w:i w:val="0"/>
                <w:caps w:val="0"/>
                <w:strike w:val="0"/>
                <w:color w:val="000000"/>
                <w:sz w:val="24"/>
                <w:u w:val="none" w:color="000000"/>
                <w:vertAlign w:val="baseline"/>
              </w:rPr>
              <w:t> </w:t>
            </w:r>
            <w:r>
              <w:rPr>
                <w:rFonts w:ascii="Times New Roman" w:eastAsia="Times New Roman" w:hAnsi="Times New Roman" w:cs="Times New Roman"/>
                <w:b/>
                <w:i w:val="0"/>
                <w:caps w:val="0"/>
                <w:strike w:val="0"/>
                <w:color w:val="000000"/>
                <w:sz w:val="24"/>
                <w:u w:val="none" w:color="000000"/>
                <w:vertAlign w:val="baseline"/>
              </w:rPr>
              <w:t xml:space="preserve">rodzinie </w:t>
            </w:r>
          </w:p>
        </w:tc>
      </w:tr>
      <w:tr>
        <w:tblPrEx>
          <w:tblW w:w="5000" w:type="pct"/>
          <w:tblLayout w:type="fixed"/>
          <w:tblCellMar>
            <w:left w:w="108" w:type="dxa"/>
            <w:right w:w="108" w:type="dxa"/>
          </w:tblCellMar>
        </w:tblPrEx>
        <w:trPr>
          <w:trHeight w:hRule="auto" w:val="0"/>
        </w:trPr>
        <w:tc>
          <w:tcPr>
            <w:tcW w:w="70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p>
          <w:p>
            <w:pPr>
              <w:jc w:val="left"/>
            </w:pPr>
            <w:r>
              <w:rPr>
                <w:sz w:val="24"/>
              </w:rPr>
              <w:t>1.</w:t>
            </w:r>
          </w:p>
        </w:tc>
        <w:tc>
          <w:tcPr>
            <w:tcW w:w="457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both"/>
              <w:rPr>
                <w:rFonts w:ascii="Times New Roman" w:eastAsia="Times New Roman" w:hAnsi="Times New Roman" w:cs="Times New Roman"/>
                <w:b w:val="0"/>
                <w:i w:val="0"/>
                <w:caps w:val="0"/>
                <w:strike w:val="0"/>
                <w:color w:val="000000"/>
                <w:sz w:val="22"/>
                <w:u w:val="none" w:color="000000"/>
                <w:vertAlign w:val="baseline"/>
              </w:rPr>
            </w:pPr>
            <w:r>
              <w:rPr>
                <w:sz w:val="24"/>
              </w:rPr>
              <w:t>Wspieranie i promowanie organizacji pozarządowych realizujących działania wynikające z Programu poprzez współpracę finansową i pozafinansową.</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wysokość</w:t>
            </w:r>
          </w:p>
          <w:p>
            <w:pPr>
              <w:jc w:val="left"/>
            </w:pPr>
            <w:r>
              <w:rPr>
                <w:sz w:val="24"/>
              </w:rPr>
              <w:t xml:space="preserve"> przeznaczonych środków, </w:t>
            </w:r>
          </w:p>
          <w:p>
            <w:pPr>
              <w:jc w:val="left"/>
            </w:pPr>
            <w:r>
              <w:rPr>
                <w:sz w:val="24"/>
              </w:rPr>
              <w:t>- liczba</w:t>
            </w:r>
          </w:p>
          <w:p>
            <w:pPr>
              <w:jc w:val="left"/>
            </w:pPr>
            <w:r>
              <w:rPr>
                <w:sz w:val="24"/>
              </w:rPr>
              <w:t xml:space="preserve"> przeprowadzonych przedsięwzięć, </w:t>
            </w:r>
          </w:p>
          <w:p>
            <w:pPr>
              <w:jc w:val="left"/>
            </w:pPr>
            <w:r>
              <w:rPr>
                <w:sz w:val="24"/>
              </w:rPr>
              <w:t xml:space="preserve">- liczba organizacji realizujących przedsięwzięcia, </w:t>
            </w:r>
          </w:p>
          <w:p>
            <w:pPr>
              <w:jc w:val="left"/>
            </w:pPr>
            <w:r>
              <w:rPr>
                <w:sz w:val="24"/>
              </w:rPr>
              <w:t>- liczba uczestników przedsięwzięć</w:t>
            </w:r>
          </w:p>
        </w:tc>
        <w:tc>
          <w:tcPr>
            <w:tcW w:w="2160"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xml:space="preserve"> - sprawozdania</w:t>
            </w:r>
          </w:p>
          <w:p>
            <w:pPr>
              <w:jc w:val="left"/>
            </w:pPr>
            <w:r>
              <w:rPr>
                <w:sz w:val="24"/>
              </w:rPr>
              <w:t>- dokumentacja</w:t>
            </w:r>
          </w:p>
          <w:p>
            <w:pPr>
              <w:jc w:val="left"/>
            </w:pPr>
            <w:r>
              <w:rPr>
                <w:sz w:val="24"/>
              </w:rPr>
              <w:t xml:space="preserve"> własna  Urzędu Gminy </w:t>
            </w:r>
          </w:p>
        </w:tc>
      </w:tr>
      <w:tr>
        <w:tblPrEx>
          <w:tblW w:w="5000" w:type="pct"/>
          <w:tblLayout w:type="fixed"/>
          <w:tblCellMar>
            <w:left w:w="108" w:type="dxa"/>
            <w:right w:w="108" w:type="dxa"/>
          </w:tblCellMar>
        </w:tblPrEx>
        <w:trPr>
          <w:trHeight w:hRule="auto" w:val="0"/>
        </w:trPr>
        <w:tc>
          <w:tcPr>
            <w:tcW w:w="70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2.</w:t>
            </w:r>
          </w:p>
        </w:tc>
        <w:tc>
          <w:tcPr>
            <w:tcW w:w="4575"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Podnoszenie kompetencji osób realizujących różnorodne działania na rzecz mieszkańców Gminy Suwałki z zakresu profilaktyki uzależnień  i przeciwdziałania narkomanii.</w:t>
            </w:r>
          </w:p>
        </w:tc>
        <w:tc>
          <w:tcPr>
            <w:tcW w:w="2640" w:type="dxa"/>
            <w:gridSpan w:val="3"/>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wysokość</w:t>
            </w:r>
          </w:p>
          <w:p>
            <w:pPr>
              <w:jc w:val="left"/>
            </w:pPr>
            <w:r>
              <w:rPr>
                <w:sz w:val="24"/>
              </w:rPr>
              <w:t xml:space="preserve"> przeznaczonych środków, </w:t>
            </w:r>
          </w:p>
          <w:p>
            <w:pPr>
              <w:jc w:val="left"/>
            </w:pPr>
            <w:r>
              <w:rPr>
                <w:sz w:val="24"/>
              </w:rPr>
              <w:t>- liczba  szkoleń</w:t>
            </w:r>
          </w:p>
          <w:p>
            <w:pPr>
              <w:jc w:val="left"/>
            </w:pPr>
            <w:r>
              <w:rPr>
                <w:sz w:val="24"/>
              </w:rPr>
              <w:t xml:space="preserve">wysokość przeznaczonych środków, </w:t>
            </w:r>
          </w:p>
        </w:tc>
        <w:tc>
          <w:tcPr>
            <w:tcW w:w="2160" w:type="dxa"/>
            <w:gridSpan w:val="2"/>
            <w:tcBorders>
              <w:top w:val="single" w:sz="2" w:space="0" w:color="auto"/>
              <w:left w:val="single" w:sz="4" w:space="0" w:color="auto"/>
              <w:bottom w:val="single" w:sz="2" w:space="0" w:color="auto"/>
              <w:right w:val="single" w:sz="4" w:space="0" w:color="auto"/>
            </w:tcBorders>
            <w:noWrap w:val="0"/>
            <w:tcMar>
              <w:top w:w="0" w:type="dxa"/>
              <w:left w:w="108" w:type="dxa"/>
              <w:bottom w:w="0" w:type="dxa"/>
              <w:right w:w="108" w:type="dxa"/>
            </w:tcMar>
            <w:textDirection w:val="lrTb"/>
            <w:vAlign w:val="top"/>
            <w:hideMark/>
          </w:tcPr>
          <w:p w:rsidR="00A77B3E">
            <w:pPr>
              <w:jc w:val="left"/>
              <w:rPr>
                <w:rFonts w:ascii="Times New Roman" w:eastAsia="Times New Roman" w:hAnsi="Times New Roman" w:cs="Times New Roman"/>
                <w:b w:val="0"/>
                <w:i w:val="0"/>
                <w:caps w:val="0"/>
                <w:strike w:val="0"/>
                <w:color w:val="000000"/>
                <w:sz w:val="22"/>
                <w:u w:val="none" w:color="000000"/>
                <w:vertAlign w:val="baseline"/>
              </w:rPr>
            </w:pPr>
            <w:r>
              <w:rPr>
                <w:sz w:val="24"/>
              </w:rPr>
              <w:t>- dokumentacja</w:t>
            </w:r>
          </w:p>
          <w:p>
            <w:pPr>
              <w:jc w:val="left"/>
            </w:pPr>
            <w:r>
              <w:rPr>
                <w:sz w:val="24"/>
              </w:rPr>
              <w:t xml:space="preserve"> własna Urzędu Gminy </w:t>
            </w:r>
          </w:p>
        </w:tc>
      </w:tr>
    </w:tbl>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Przewidywane efekty realizacji programu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Zakładanym efektem realizacji Programu jest ograniczenie występowania problemów</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związanych bezpośrednio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używaniem alkoholu, narkotyków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uzależnień behawioralnych, stworzenie wielopłaszczyznowego spójnego systemu wsparcia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pomocy dla osób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 zagrożonych oraz dotkniętych problemem uzależnień,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zwiększenie jego skuteczności poprzez:</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zmniejszenie skali dysfunkcji występujących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rodzinach poprzez modyfikowanie stylu</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życia, wolnego od wszelkich używek, szczególnie wśród dzieci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młodzieży, dzięki realizacji działań profilaktycznych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rozwiązywania problemów uzależnień, tj. informacyjno-edukacyjnych,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prowadzenie pozalekcyjnych zajęć sportowych i rekreacyjnych,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podniesienie świadomości społecznej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obszarze uzależnień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uzależnień  behawioralnych.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udzielenie specjalistycznej pomocy osobom uzależnionym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rodzinom oraz podniesienie jakości usług świadczonych przez przedstawicieli instytucji realizujących zadania z zakresu profilaktyki uzależnień,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zintensyfikowanie działań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stosunku do osób uzależnionych,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zmniejszenie liczby osób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 dotkniętych problemem uzależnień,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zwiększenie zaangażowania lokalnej społeczności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działania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ograniczeniem występowania problemów uzależnień.</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Realizacja programu zwiększy skuteczność pomocy kierowanej do rodzin oraz stworzy możliwość współpracy pomiędzy instytucjami zajmującymi się problematyką uzależnień. Oczekiwanym rezultatem wspólnych działań będzie przeciwdziałanie uzależnieniom oraz patologii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zagrożeniu wykluczeniem społecznym. Interdyscyplinarne podejście daje możliwość rozwoju, zwiększenia świadomości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środowisku lokalnym,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samym podniesienia jakości życia mieszkańców.</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Monitoring efektywności działań</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Przez cały okres realizacji Program będzie podlegał monitoringowi. Monitoring prowadzony będzie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potwierdzenia skuteczności działań ujętych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Gminnym Programie. Odbywać się będzie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ciągły poprzez dokonywanie bieżących kontroli jakości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rzetelności realizowanych zadań, ścisłą współpracę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realizatorami oraz analizę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interpretację danych sprawozdawczych będących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posiadaniu gminy. Monitoring prowadzi się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oparciu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wskaźniki opisane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Rozdziale VI.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Odbiorcy Programu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Adresatami Gminnego Programu są mieszkańcy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mieszkanki Gminy Suwałki – dzieci, młodzież, dorośli,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seniorzy. Gminny Program jest szczególnie skierowany do rodzin zmagających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uzależnieniami oraz do osób doświadczających przemocy. Działania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profilaktyki uniwersalnej adresowane są głównie do całych grup,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do dzieci i młodzieży, bez względu na stopień indywidualnego ryzyka występowania problemów związanych z uzależnieniami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uzależnieniami behawioralnymi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zachowań agresywnych,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stosowaniem substancji psychoaktywnych. Działania uprzedzające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profilaktyki selektywnej skierowane są do jednostek lub grup zwiększonego ryzyka, które ze względu na swoją sytuację społeczną, rodzinną, środowiskową lub uwarunkowania biologiczne, narażone są na większe od przeciętnego niebezpieczeństwo wystąpienia problemów związanych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przemocą. Działania powstrzymujące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profilaktyki wskazującej skierowane są do jednostek lub grup demonstrujących wczesne symptomy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uzależnieniem. Program adresowany jest także do osób nadużywających alkohol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używających narkotyków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ryzykowny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szkodliwy; uzależnionych, którzy wymagają leczenia (działania terapeutyczno-korekcyjne); utrzymujących abstynencję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współuzależnionych – rodzin bliskich (działania wspierające).</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10.</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Realizatorzy Programu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Gminny Program Profilaktyki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Alkoholowych oraz Przeciwdziałania Narkomanii na rok 2025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będzie realizowany przez Urząd Gminy Suwałki – Referat Polityki Społeczno - Gospodarczej. Wójt Gminy Suwałki pełni nadzór nad realizacją Programu.</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Głównymi realizatorami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partnerami Programu są: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Jednostki organizacyjne Urzędu Gminy Suwałki, działające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obszarze profilaktyki – Gminny Ośrodek Pomocy Społecznej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Suwałkach,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Gminny Zespół Interdyscyplinarny ds. Przeciwdziałania Przemocy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Gminna Komisja Rozwiązywania Problemów Alkoholowych działająca przy Urzędzie Gminy w Suwałkach.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Poradnia Terapii Uzależnienia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Współuzależnienia od Alkoholu.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Zakłady Opieki Zdrowotnej.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Placówki oświatowo-wychowawcze.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Komenda Miejska Policji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Suwałkach.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Sąd Rejonowy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Suwałkach,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Zespoły Kuratorskiej Służby Sądowej.</w:t>
      </w:r>
    </w:p>
    <w:p w:rsidR="00A77B3E">
      <w:pPr>
        <w:keepNext w:val="0"/>
        <w:keepLines w:val="0"/>
        <w:spacing w:before="120" w:after="120" w:line="240" w:lineRule="auto"/>
        <w:ind w:left="0" w:right="0" w:firstLine="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Zadania ujęte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Programie skoncentrowane są na rozwijaniu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wspieraniu działalności edukacyjnej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informowania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szkodliwości alkoholizmu, narkomanii i uzależnień behawioralnych oraz prowadzenia działalności wychowawczej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zapobiegawczej, polegającej na promocji zdrowego stylu życia, podejmowaniu oraz wspieraniu działań lokalnych i inicjatyw społecznych,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minimalizowania szkód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uzależnień.</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Źródła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zasady finansowania Programu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Realizacja zadań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Programu finansowana będzie ze środków własnych Gminy Suwałki pochodzących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opłat za korzystanie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zezwoleń na sprzedaż napojów alkoholowych (zgodnie</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18</w:t>
      </w:r>
      <w:r>
        <w:rPr>
          <w:rFonts w:ascii="Times New Roman" w:eastAsia="Times New Roman" w:hAnsi="Times New Roman" w:cs="Times New Roman"/>
          <w:b w:val="0"/>
          <w:i w:val="0"/>
          <w:caps w:val="0"/>
          <w:strike w:val="0"/>
          <w:color w:val="000000"/>
          <w:sz w:val="22"/>
          <w:u w:val="none" w:color="000000"/>
          <w:vertAlign w:val="superscript"/>
        </w:rPr>
        <w:t>2</w:t>
      </w:r>
      <w:r>
        <w:rPr>
          <w:rFonts w:ascii="Times New Roman" w:eastAsia="Times New Roman" w:hAnsi="Times New Roman" w:cs="Times New Roman"/>
          <w:b w:val="0"/>
          <w:i w:val="0"/>
          <w:caps w:val="0"/>
          <w:strike w:val="0"/>
          <w:color w:val="000000"/>
          <w:sz w:val="22"/>
          <w:u w:val="none" w:color="000000"/>
          <w:vertAlign w:val="baseline"/>
        </w:rPr>
        <w:t xml:space="preserve">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wychowaniu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trzeźwości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przeciwdziałaniu alkoholizmowi).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Dodatkowym źródłem finansowania mogą być: środki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dodatkowej opłaty, wnoszonej przez przedsiębiorców prowadzących hurtowy obrót alkoholem. Opłata, zwana potocznie „podatkiem od małpek”, dotyczy hurtowni zaopatrujących innych przedsiębiorców prowadzących sprzedaż detaliczną alkoholu przeznaczonego do spożycia poza miejscem sprzedaży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jest odprowadzana od napojów alkoholowych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objętości mniejszej niż 300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ml. Opłata ta przeznaczana jest na działania mające na celu realizację lokalnej międzysektorowej polityki przeciwdziałania negatywnym skutkom spożywania alkoholu,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na realizację zadań wskazanych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niniejszym Programie. Środki te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być przeznaczane na zadania, które ustawowo przypisane są innym podmiotom.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Powyższe środki gromadzone są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budżecie Gminy w dziale 851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rozdział 85154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ochrona zdrowia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dziale 851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rozdział 85153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przeciwdziałanie narkomanii.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wynagradzania członków Gminnej Komisji Rozwiązywania Problemów Alkoholowych Gminy Suwałki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Członkom Gminnej przysługuje wynagrodzenie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300,00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Przewodniczącemu Gminnej Komisji wynagrodzenie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wysokości 350,00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brutto za udział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posiedzeniu Komisji lub kontroli punktów sprzedaży napojów alkoholowych.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Podstawą wypłaty wynagrodzeń Gminnej Komisji są listy obecności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posiedzeń Komisji oraz listy obecności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kontroli punktów sprzedaży napojów alkoholowych.</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końcowe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Ocena efektów Programu dokonywana będzie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formie corocznego sprawozdania przekazywanego Radzie Gminy Suwałki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dnia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czerwca roku następnego.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type w:val="nextPage"/>
          <w:pgSz w:w="11906" w:h="16838"/>
          <w:pgMar w:top="1417" w:right="1020" w:bottom="992" w:left="1020" w:header="708" w:footer="708" w:gutter="0"/>
          <w:pgNumType w:start="1"/>
          <w:cols w:space="708"/>
          <w:docGrid w:linePitch="360"/>
        </w:sect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koordynację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realizację Programu odpowiedzialny jest Koordynator Programu </w:t>
      </w:r>
      <w:r>
        <w:rPr>
          <w:rFonts w:ascii="Times New Roman" w:eastAsia="Times New Roman" w:hAnsi="Times New Roman" w:cs="Times New Roman"/>
          <w:b/>
          <w:i w:val="0"/>
          <w:caps w:val="0"/>
          <w:strike w:val="0"/>
          <w:color w:val="000000"/>
          <w:sz w:val="22"/>
          <w:u w:val="none" w:color="000000"/>
          <w:vertAlign w:val="baseline"/>
        </w:rPr>
        <w:t xml:space="preserve">– </w:t>
      </w:r>
      <w:r>
        <w:rPr>
          <w:rFonts w:ascii="Times New Roman" w:eastAsia="Times New Roman" w:hAnsi="Times New Roman" w:cs="Times New Roman"/>
          <w:b w:val="0"/>
          <w:i w:val="0"/>
          <w:caps w:val="0"/>
          <w:strike w:val="0"/>
          <w:color w:val="000000"/>
          <w:sz w:val="22"/>
          <w:u w:val="none" w:color="000000"/>
          <w:vertAlign w:val="baseline"/>
        </w:rPr>
        <w:t xml:space="preserve">Kierownik Referatu ds. Polityki Społeczno </w:t>
      </w:r>
      <w:r>
        <w:rPr>
          <w:rFonts w:ascii="Times New Roman" w:eastAsia="Times New Roman" w:hAnsi="Times New Roman" w:cs="Times New Roman"/>
          <w:b/>
          <w:i w:val="0"/>
          <w:caps w:val="0"/>
          <w:strike w:val="0"/>
          <w:color w:val="000000"/>
          <w:sz w:val="22"/>
          <w:u w:val="none" w:color="000000"/>
          <w:vertAlign w:val="baseline"/>
        </w:rPr>
        <w:t xml:space="preserve">– </w:t>
      </w:r>
      <w:r>
        <w:rPr>
          <w:rFonts w:ascii="Times New Roman" w:eastAsia="Times New Roman" w:hAnsi="Times New Roman" w:cs="Times New Roman"/>
          <w:b w:val="0"/>
          <w:i w:val="0"/>
          <w:caps w:val="0"/>
          <w:strike w:val="0"/>
          <w:color w:val="000000"/>
          <w:sz w:val="22"/>
          <w:u w:val="none" w:color="000000"/>
          <w:vertAlign w:val="baseline"/>
        </w:rPr>
        <w:t>Gospodarczej Urzędu Gminy Suwałki.</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Przedstawiony projekt uchwały w sprawie uchwalenia Gminnego Programu Profilaktyki</w:t>
        <w:br/>
        <w:t>i Rozwiązywania Problemów Alkoholowych oraz Przeciwdziałania Narkomanii na rok 2025 został dostosowany do wymogów ustawy o wychowaniu w trzeźwości i przeciwdziałaniu alkoholizmowi, ustawy o przeciwdziałaniu narkomanii.</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ab/>
        <w:t>Środki na ten cel pochodzą z opłat za korzystanie z zezwoleń na sprzedaż napojów alkoholowych. Dodatkowym źródłem finansowania mogą być: środki z dodatkowej opłaty, wnoszonej przez przedsiębiorców prowadzących hurtowy obrót alkoholem. Opłata, zwana potocznie „podatkiem od małpek”, dotyczy hurtowni zaopatrujących innych przedsiębiorców prowadzących sprzedaż detaliczną alkoholu przeznaczonego do spożycia poza miejscem sprzedaży i jest odprowadzana od napojów alkoholowych o objętości mniejszej niż 300 ml. Opłata ta przeznaczana jest na działania mające na celu realizację lokalnej międzysektorowej polityki przeciwdziałania negatywnym skutkom spożywania alkoholu, w szczególności na realizację zadań wskazanych w niniejszym Programie.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Biorąc pod uwagę powyższe ustalenia oraz konieczność wdrożenia Programu zasadne jest podjęcie niniejszej uchwały.</w:t>
      </w:r>
    </w:p>
    <w:sectPr>
      <w:footerReference w:type="default" r:id="rId6"/>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E56683D8-A3AD-45DD-9915-4C3EE84BA69F. Podpisany</w:t>
          </w:r>
        </w:p>
      </w:tc>
      <w:tc>
        <w:tcPr>
          <w:tcW w:w="3289" w:type="dxa"/>
          <w:tcBorders>
            <w:top w:val="single" w:sz="2"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E56683D8-A3AD-45DD-9915-4C3EE84BA69F. Podpisany</w:t>
          </w:r>
        </w:p>
      </w:tc>
      <w:tc>
        <w:tcPr>
          <w:tcW w:w="3289" w:type="dxa"/>
          <w:tcBorders>
            <w:top w:val="single" w:sz="2"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108" w:type="dxa"/>
            <w:bottom w:w="0" w:type="dxa"/>
            <w:right w:w="108" w:type="dxa"/>
          </w:tcMar>
          <w:textDirection w:val="lrTb"/>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E56683D8-A3AD-45DD-9915-4C3EE84BA69F. Podpisany</w:t>
          </w:r>
        </w:p>
      </w:tc>
      <w:tc>
        <w:tcPr>
          <w:tcW w:w="3289" w:type="dxa"/>
          <w:tcBorders>
            <w:top w:val="single" w:sz="2" w:space="0" w:color="auto"/>
            <w:left w:val="nil"/>
            <w:bottom w:val="nil"/>
            <w:right w:val="nil"/>
          </w:tcBorders>
          <w:noWrap w:val="0"/>
          <w:tcMar>
            <w:top w:w="100" w:type="dxa"/>
            <w:left w:w="108" w:type="dxa"/>
            <w:bottom w:w="0" w:type="dxa"/>
            <w:right w:w="108" w:type="dxa"/>
          </w:tcMar>
          <w:textDirection w:val="lrTb"/>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Suwałki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VIII/64/24 z dnia 17 grudnia 2024 r.</dc:title>
  <dc:subject>w sprawie przyjęcia Gminnego Program Profilaktyki i^Rozwiązywania Problemów Alkoholowych oraz Przeciwdziałania Narkomania na rok 2025.</dc:subject>
  <dc:creator>hmarcinkiewicz1</dc:creator>
  <cp:lastModifiedBy>hmarcinkiewicz1</cp:lastModifiedBy>
  <cp:revision>1</cp:revision>
  <dcterms:created xsi:type="dcterms:W3CDTF">2024-12-18T12:32:04Z</dcterms:created>
  <dcterms:modified xsi:type="dcterms:W3CDTF">2024-12-18T12:32:04Z</dcterms:modified>
  <cp:category>Akt prawny</cp:category>
</cp:coreProperties>
</file>