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7C97" w14:textId="16AF280D" w:rsidR="00AA3195" w:rsidRPr="008B30C9" w:rsidRDefault="00F41A13" w:rsidP="00F41A13">
      <w:pPr>
        <w:jc w:val="right"/>
        <w:rPr>
          <w:rFonts w:ascii="Times New Roman" w:hAnsi="Times New Roman" w:cs="Times New Roman"/>
          <w:sz w:val="18"/>
          <w:szCs w:val="18"/>
        </w:rPr>
      </w:pPr>
      <w:r w:rsidRPr="008B30C9">
        <w:rPr>
          <w:rFonts w:ascii="Times New Roman" w:hAnsi="Times New Roman" w:cs="Times New Roman"/>
          <w:sz w:val="18"/>
          <w:szCs w:val="18"/>
        </w:rPr>
        <w:t xml:space="preserve">Załącznik do zarządzenia </w:t>
      </w:r>
      <w:r w:rsidR="00800843" w:rsidRPr="008B30C9">
        <w:rPr>
          <w:rFonts w:ascii="Times New Roman" w:hAnsi="Times New Roman" w:cs="Times New Roman"/>
          <w:sz w:val="18"/>
          <w:szCs w:val="18"/>
        </w:rPr>
        <w:t xml:space="preserve">Nr </w:t>
      </w:r>
      <w:r w:rsidR="007D7905" w:rsidRPr="008B30C9">
        <w:rPr>
          <w:rFonts w:ascii="Times New Roman" w:hAnsi="Times New Roman" w:cs="Times New Roman"/>
          <w:sz w:val="18"/>
          <w:szCs w:val="18"/>
        </w:rPr>
        <w:t>109</w:t>
      </w:r>
      <w:r w:rsidR="004B674E" w:rsidRPr="008B30C9">
        <w:rPr>
          <w:rFonts w:ascii="Times New Roman" w:hAnsi="Times New Roman" w:cs="Times New Roman"/>
          <w:sz w:val="18"/>
          <w:szCs w:val="18"/>
        </w:rPr>
        <w:t>/</w:t>
      </w:r>
      <w:r w:rsidR="00472877" w:rsidRPr="008B30C9">
        <w:rPr>
          <w:rFonts w:ascii="Times New Roman" w:hAnsi="Times New Roman" w:cs="Times New Roman"/>
          <w:sz w:val="18"/>
          <w:szCs w:val="18"/>
        </w:rPr>
        <w:t>2</w:t>
      </w:r>
      <w:r w:rsidR="004B674E" w:rsidRPr="008B30C9">
        <w:rPr>
          <w:rFonts w:ascii="Times New Roman" w:hAnsi="Times New Roman" w:cs="Times New Roman"/>
          <w:sz w:val="18"/>
          <w:szCs w:val="18"/>
        </w:rPr>
        <w:t>5</w:t>
      </w:r>
      <w:r w:rsidR="0046070D" w:rsidRPr="008B30C9">
        <w:rPr>
          <w:rFonts w:ascii="Times New Roman" w:hAnsi="Times New Roman" w:cs="Times New Roman"/>
          <w:sz w:val="18"/>
          <w:szCs w:val="18"/>
        </w:rPr>
        <w:t xml:space="preserve"> </w:t>
      </w:r>
      <w:r w:rsidRPr="008B30C9">
        <w:rPr>
          <w:rFonts w:ascii="Times New Roman" w:hAnsi="Times New Roman" w:cs="Times New Roman"/>
          <w:sz w:val="18"/>
          <w:szCs w:val="18"/>
        </w:rPr>
        <w:t>Wójta Gminy Suwałki</w:t>
      </w:r>
    </w:p>
    <w:p w14:paraId="4B17759C" w14:textId="59A9CBA4" w:rsidR="00F41A13" w:rsidRPr="008B30C9" w:rsidRDefault="00800843" w:rsidP="00F41A13">
      <w:pPr>
        <w:jc w:val="right"/>
        <w:rPr>
          <w:rFonts w:ascii="Times New Roman" w:hAnsi="Times New Roman" w:cs="Times New Roman"/>
          <w:sz w:val="18"/>
          <w:szCs w:val="18"/>
        </w:rPr>
      </w:pPr>
      <w:r w:rsidRPr="008B30C9">
        <w:rPr>
          <w:rFonts w:ascii="Times New Roman" w:hAnsi="Times New Roman" w:cs="Times New Roman"/>
          <w:sz w:val="18"/>
          <w:szCs w:val="18"/>
        </w:rPr>
        <w:t>z</w:t>
      </w:r>
      <w:r w:rsidR="00F41A13" w:rsidRPr="008B30C9">
        <w:rPr>
          <w:rFonts w:ascii="Times New Roman" w:hAnsi="Times New Roman" w:cs="Times New Roman"/>
          <w:sz w:val="18"/>
          <w:szCs w:val="18"/>
        </w:rPr>
        <w:t xml:space="preserve"> dnia </w:t>
      </w:r>
      <w:r w:rsidR="004B674E" w:rsidRPr="008B30C9">
        <w:rPr>
          <w:rFonts w:ascii="Times New Roman" w:hAnsi="Times New Roman" w:cs="Times New Roman"/>
          <w:sz w:val="18"/>
          <w:szCs w:val="18"/>
        </w:rPr>
        <w:t>20 stycznia</w:t>
      </w:r>
      <w:r w:rsidR="00472877" w:rsidRPr="008B30C9">
        <w:rPr>
          <w:rFonts w:ascii="Times New Roman" w:hAnsi="Times New Roman" w:cs="Times New Roman"/>
          <w:sz w:val="18"/>
          <w:szCs w:val="18"/>
        </w:rPr>
        <w:t xml:space="preserve"> 202</w:t>
      </w:r>
      <w:r w:rsidR="004B674E" w:rsidRPr="008B30C9">
        <w:rPr>
          <w:rFonts w:ascii="Times New Roman" w:hAnsi="Times New Roman" w:cs="Times New Roman"/>
          <w:sz w:val="18"/>
          <w:szCs w:val="18"/>
        </w:rPr>
        <w:t>5</w:t>
      </w:r>
      <w:r w:rsidR="00F41A13" w:rsidRPr="008B30C9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E07C9D2" w14:textId="77777777" w:rsidR="00FB45FE" w:rsidRPr="008B30C9" w:rsidRDefault="00F41A13" w:rsidP="00F41A13">
      <w:pPr>
        <w:pStyle w:val="Nagwek"/>
        <w:tabs>
          <w:tab w:val="clear" w:pos="4536"/>
          <w:tab w:val="clear" w:pos="9072"/>
          <w:tab w:val="left" w:pos="4980"/>
          <w:tab w:val="center" w:pos="7002"/>
        </w:tabs>
        <w:rPr>
          <w:rFonts w:ascii="Times New Roman" w:hAnsi="Times New Roman" w:cs="Times New Roman"/>
          <w:b/>
          <w:sz w:val="28"/>
          <w:szCs w:val="28"/>
        </w:rPr>
      </w:pPr>
      <w:r w:rsidRPr="008B30C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1AE41A2" wp14:editId="4518CCE7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969645" cy="1122045"/>
            <wp:effectExtent l="0" t="0" r="1905" b="1905"/>
            <wp:wrapTight wrapText="bothSides">
              <wp:wrapPolygon edited="0">
                <wp:start x="0" y="0"/>
                <wp:lineTo x="0" y="21270"/>
                <wp:lineTo x="21218" y="21270"/>
                <wp:lineTo x="21218" y="0"/>
                <wp:lineTo x="0" y="0"/>
              </wp:wrapPolygon>
            </wp:wrapTight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0C9">
        <w:rPr>
          <w:rFonts w:ascii="Times New Roman" w:hAnsi="Times New Roman" w:cs="Times New Roman"/>
          <w:b/>
          <w:sz w:val="28"/>
          <w:szCs w:val="28"/>
        </w:rPr>
        <w:tab/>
      </w:r>
      <w:r w:rsidRPr="008B30C9">
        <w:rPr>
          <w:rFonts w:ascii="Times New Roman" w:hAnsi="Times New Roman" w:cs="Times New Roman"/>
          <w:b/>
          <w:sz w:val="28"/>
          <w:szCs w:val="28"/>
        </w:rPr>
        <w:tab/>
      </w:r>
      <w:r w:rsidR="00FB45FE" w:rsidRPr="008B30C9">
        <w:rPr>
          <w:rFonts w:ascii="Times New Roman" w:hAnsi="Times New Roman" w:cs="Times New Roman"/>
          <w:b/>
          <w:sz w:val="28"/>
          <w:szCs w:val="28"/>
        </w:rPr>
        <w:t>URZĄD GMINY SUWAŁKI</w:t>
      </w:r>
    </w:p>
    <w:p w14:paraId="6BD6698F" w14:textId="77777777" w:rsidR="00FB45FE" w:rsidRPr="008B30C9" w:rsidRDefault="00FB45FE" w:rsidP="00FB45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C7ED9" w14:textId="5B2EFD23" w:rsidR="00FB45FE" w:rsidRPr="00513A3E" w:rsidRDefault="00B96F8E" w:rsidP="00FB4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A3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B45FE" w:rsidRPr="00513A3E">
        <w:rPr>
          <w:rFonts w:ascii="Times New Roman" w:hAnsi="Times New Roman" w:cs="Times New Roman"/>
          <w:sz w:val="24"/>
          <w:szCs w:val="24"/>
        </w:rPr>
        <w:t xml:space="preserve">art. 13, </w:t>
      </w:r>
      <w:r w:rsidRPr="00513A3E">
        <w:rPr>
          <w:rFonts w:ascii="Times New Roman" w:hAnsi="Times New Roman" w:cs="Times New Roman"/>
          <w:sz w:val="24"/>
          <w:szCs w:val="24"/>
        </w:rPr>
        <w:t>art. 35</w:t>
      </w:r>
      <w:r w:rsidR="003B7289" w:rsidRPr="00513A3E">
        <w:rPr>
          <w:rFonts w:ascii="Times New Roman" w:hAnsi="Times New Roman" w:cs="Times New Roman"/>
          <w:sz w:val="24"/>
          <w:szCs w:val="24"/>
        </w:rPr>
        <w:t xml:space="preserve"> i art.37 </w:t>
      </w:r>
      <w:r w:rsidRPr="00513A3E">
        <w:rPr>
          <w:rFonts w:ascii="Times New Roman" w:hAnsi="Times New Roman" w:cs="Times New Roman"/>
          <w:sz w:val="24"/>
          <w:szCs w:val="24"/>
        </w:rPr>
        <w:t>ustawy z dnia 21 sierpnia 1997 r, o gospodarce nieruchomościami (Dz. U.</w:t>
      </w:r>
      <w:r w:rsidR="00435EF5" w:rsidRPr="00513A3E">
        <w:rPr>
          <w:rFonts w:ascii="Times New Roman" w:hAnsi="Times New Roman" w:cs="Times New Roman"/>
          <w:sz w:val="24"/>
          <w:szCs w:val="24"/>
        </w:rPr>
        <w:t xml:space="preserve"> </w:t>
      </w:r>
      <w:r w:rsidRPr="00513A3E">
        <w:rPr>
          <w:rFonts w:ascii="Times New Roman" w:hAnsi="Times New Roman" w:cs="Times New Roman"/>
          <w:sz w:val="24"/>
          <w:szCs w:val="24"/>
        </w:rPr>
        <w:t>z</w:t>
      </w:r>
      <w:r w:rsidR="00435EF5" w:rsidRPr="00513A3E">
        <w:rPr>
          <w:rFonts w:ascii="Times New Roman" w:hAnsi="Times New Roman" w:cs="Times New Roman"/>
          <w:sz w:val="24"/>
          <w:szCs w:val="24"/>
        </w:rPr>
        <w:t xml:space="preserve"> 202</w:t>
      </w:r>
      <w:r w:rsidR="00AF5D41">
        <w:rPr>
          <w:rFonts w:ascii="Times New Roman" w:hAnsi="Times New Roman" w:cs="Times New Roman"/>
          <w:sz w:val="24"/>
          <w:szCs w:val="24"/>
        </w:rPr>
        <w:t>4</w:t>
      </w:r>
      <w:r w:rsidR="00435EF5" w:rsidRPr="00513A3E">
        <w:rPr>
          <w:rFonts w:ascii="Times New Roman" w:hAnsi="Times New Roman" w:cs="Times New Roman"/>
          <w:sz w:val="24"/>
          <w:szCs w:val="24"/>
        </w:rPr>
        <w:t xml:space="preserve"> r. </w:t>
      </w:r>
      <w:r w:rsidR="003B7289" w:rsidRPr="00513A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5EF5" w:rsidRPr="00513A3E">
        <w:rPr>
          <w:rFonts w:ascii="Times New Roman" w:hAnsi="Times New Roman" w:cs="Times New Roman"/>
          <w:sz w:val="24"/>
          <w:szCs w:val="24"/>
        </w:rPr>
        <w:t xml:space="preserve">poz. </w:t>
      </w:r>
      <w:r w:rsidR="00AF5D41">
        <w:rPr>
          <w:rFonts w:ascii="Times New Roman" w:hAnsi="Times New Roman" w:cs="Times New Roman"/>
          <w:sz w:val="24"/>
          <w:szCs w:val="24"/>
        </w:rPr>
        <w:t>1145</w:t>
      </w:r>
      <w:r w:rsidR="00AA6D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A6D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A6D71">
        <w:rPr>
          <w:rFonts w:ascii="Times New Roman" w:hAnsi="Times New Roman" w:cs="Times New Roman"/>
          <w:sz w:val="24"/>
          <w:szCs w:val="24"/>
        </w:rPr>
        <w:t>. zm.</w:t>
      </w:r>
      <w:r w:rsidRPr="00513A3E">
        <w:rPr>
          <w:rFonts w:ascii="Times New Roman" w:hAnsi="Times New Roman" w:cs="Times New Roman"/>
          <w:sz w:val="24"/>
          <w:szCs w:val="24"/>
        </w:rPr>
        <w:t xml:space="preserve">) Wójt Gminy Suwałki </w:t>
      </w:r>
      <w:r w:rsidR="0046070D" w:rsidRPr="00513A3E">
        <w:rPr>
          <w:rFonts w:ascii="Times New Roman" w:hAnsi="Times New Roman" w:cs="Times New Roman"/>
          <w:sz w:val="24"/>
          <w:szCs w:val="24"/>
        </w:rPr>
        <w:t>podaje do publicznej wiadomości:</w:t>
      </w:r>
    </w:p>
    <w:p w14:paraId="5DBB13E3" w14:textId="77777777" w:rsidR="00B96F8E" w:rsidRPr="00513A3E" w:rsidRDefault="00B96F8E" w:rsidP="00C86C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2044"/>
        <w:gridCol w:w="1641"/>
        <w:gridCol w:w="4253"/>
        <w:gridCol w:w="1843"/>
        <w:gridCol w:w="2268"/>
      </w:tblGrid>
      <w:tr w:rsidR="00513A3E" w:rsidRPr="00513A3E" w14:paraId="528EAC69" w14:textId="77777777" w:rsidTr="00A53DE2">
        <w:tc>
          <w:tcPr>
            <w:tcW w:w="15168" w:type="dxa"/>
            <w:gridSpan w:val="8"/>
            <w:shd w:val="clear" w:color="auto" w:fill="E2EFD9" w:themeFill="accent6" w:themeFillTint="33"/>
          </w:tcPr>
          <w:p w14:paraId="6CF6C91F" w14:textId="77777777" w:rsidR="00867700" w:rsidRPr="00BA21E2" w:rsidRDefault="004646C8" w:rsidP="00BA21E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NIERUCHOMOŚCI PRZEZNACZONYCH DO SPRZEDAŻY W DRODZE </w:t>
            </w:r>
            <w:r w:rsidRPr="00BA2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PRZETARGU </w:t>
            </w:r>
            <w:r w:rsidR="00C422BE" w:rsidRPr="00BA2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NIE</w:t>
            </w:r>
            <w:r w:rsidRPr="00BA2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OGRANICZONEGO</w:t>
            </w:r>
            <w:r w:rsidR="0046070D" w:rsidRPr="00BA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6070D" w:rsidRPr="00BA21E2">
              <w:rPr>
                <w:rFonts w:ascii="Times New Roman" w:hAnsi="Times New Roman" w:cs="Times New Roman"/>
                <w:sz w:val="24"/>
                <w:szCs w:val="24"/>
              </w:rPr>
              <w:t xml:space="preserve">(art. </w:t>
            </w:r>
            <w:r w:rsidR="00BA21E2" w:rsidRPr="00BA21E2">
              <w:rPr>
                <w:rFonts w:ascii="Times New Roman" w:hAnsi="Times New Roman" w:cs="Times New Roman"/>
                <w:sz w:val="24"/>
                <w:szCs w:val="24"/>
              </w:rPr>
              <w:t>37 ust. 1)</w:t>
            </w:r>
          </w:p>
        </w:tc>
      </w:tr>
      <w:tr w:rsidR="00513A3E" w:rsidRPr="00513A3E" w14:paraId="0BB10149" w14:textId="77777777" w:rsidTr="00381935">
        <w:tc>
          <w:tcPr>
            <w:tcW w:w="425" w:type="dxa"/>
            <w:shd w:val="clear" w:color="auto" w:fill="E2EFD9" w:themeFill="accent6" w:themeFillTint="33"/>
          </w:tcPr>
          <w:p w14:paraId="4679259D" w14:textId="77777777" w:rsidR="0091395D" w:rsidRPr="00513A3E" w:rsidRDefault="0091395D" w:rsidP="00A53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3DE2"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3" w:type="dxa"/>
            <w:shd w:val="clear" w:color="auto" w:fill="E2EFD9" w:themeFill="accent6" w:themeFillTint="33"/>
          </w:tcPr>
          <w:p w14:paraId="30A4E056" w14:textId="77777777" w:rsidR="0091395D" w:rsidRPr="00A53DE2" w:rsidRDefault="00A53DE2" w:rsidP="00B96F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DE2">
              <w:rPr>
                <w:rFonts w:ascii="Times New Roman" w:hAnsi="Times New Roman" w:cs="Times New Roman"/>
                <w:b/>
                <w:sz w:val="16"/>
                <w:szCs w:val="16"/>
              </w:rPr>
              <w:t>Nieruchomość oznaczona nr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3F1716" w14:textId="77777777" w:rsidR="0091395D" w:rsidRPr="00BA21E2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E2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2044" w:type="dxa"/>
            <w:shd w:val="clear" w:color="auto" w:fill="E2EFD9" w:themeFill="accent6" w:themeFillTint="33"/>
          </w:tcPr>
          <w:p w14:paraId="4F658AA5" w14:textId="77777777" w:rsidR="0091395D" w:rsidRPr="00BA21E2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E2">
              <w:rPr>
                <w:rFonts w:ascii="Times New Roman" w:hAnsi="Times New Roman" w:cs="Times New Roman"/>
                <w:b/>
                <w:sz w:val="24"/>
                <w:szCs w:val="24"/>
              </w:rPr>
              <w:t>Nr KW</w:t>
            </w:r>
          </w:p>
        </w:tc>
        <w:tc>
          <w:tcPr>
            <w:tcW w:w="1641" w:type="dxa"/>
            <w:shd w:val="clear" w:color="auto" w:fill="E2EFD9" w:themeFill="accent6" w:themeFillTint="33"/>
          </w:tcPr>
          <w:p w14:paraId="0584CC1D" w14:textId="77777777" w:rsidR="0091395D" w:rsidRPr="00513A3E" w:rsidRDefault="0091395D" w:rsidP="00F4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13A3E"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 [ha]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29724CA" w14:textId="77777777" w:rsidR="0091395D" w:rsidRPr="00513A3E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E">
              <w:rPr>
                <w:rFonts w:ascii="Times New Roman" w:hAnsi="Times New Roman" w:cs="Times New Roman"/>
                <w:b/>
                <w:sz w:val="24"/>
                <w:szCs w:val="24"/>
              </w:rPr>
              <w:t>Opis nieruchomości i przeznaczenie w planie zagospodarowania przestrzennego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B6B3254" w14:textId="77777777" w:rsidR="0091395D" w:rsidRPr="00513A3E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E">
              <w:rPr>
                <w:rFonts w:ascii="Times New Roman" w:hAnsi="Times New Roman" w:cs="Times New Roman"/>
                <w:b/>
                <w:sz w:val="24"/>
                <w:szCs w:val="24"/>
              </w:rPr>
              <w:t>Cena netto nieruchomości</w:t>
            </w:r>
          </w:p>
          <w:p w14:paraId="2A7664EF" w14:textId="77777777" w:rsidR="0091395D" w:rsidRPr="00513A3E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B0AE2F1" w14:textId="77777777" w:rsidR="0091395D" w:rsidRPr="00513A3E" w:rsidRDefault="0091395D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E">
              <w:rPr>
                <w:rFonts w:ascii="Times New Roman" w:hAnsi="Times New Roman" w:cs="Times New Roman"/>
                <w:b/>
                <w:sz w:val="24"/>
                <w:szCs w:val="24"/>
              </w:rPr>
              <w:t>Forma zbycia</w:t>
            </w:r>
          </w:p>
        </w:tc>
      </w:tr>
      <w:tr w:rsidR="00AA6D71" w:rsidRPr="00AA6D71" w14:paraId="6135A633" w14:textId="77777777" w:rsidTr="00381935">
        <w:trPr>
          <w:trHeight w:val="830"/>
        </w:trPr>
        <w:tc>
          <w:tcPr>
            <w:tcW w:w="425" w:type="dxa"/>
            <w:vMerge w:val="restart"/>
          </w:tcPr>
          <w:p w14:paraId="208AF6CF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  <w:r w:rsidRPr="00AA6D71">
              <w:rPr>
                <w:rFonts w:ascii="Times New Roman" w:hAnsi="Times New Roman" w:cs="Times New Roman"/>
              </w:rPr>
              <w:t>1</w:t>
            </w:r>
            <w:r w:rsidR="00AA6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0E2B19E6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701" w:type="dxa"/>
            <w:vMerge w:val="restart"/>
          </w:tcPr>
          <w:p w14:paraId="268D56F6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  <w:p w14:paraId="174DDD02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  <w:p w14:paraId="21244DB3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  <w:p w14:paraId="08C599CE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  <w:p w14:paraId="1FAA3C25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  <w:r w:rsidRPr="00AA6D71">
              <w:rPr>
                <w:rFonts w:ascii="Times New Roman" w:hAnsi="Times New Roman" w:cs="Times New Roman"/>
              </w:rPr>
              <w:t>0034</w:t>
            </w:r>
          </w:p>
          <w:p w14:paraId="60D215C8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71">
              <w:rPr>
                <w:rFonts w:ascii="Times New Roman" w:hAnsi="Times New Roman" w:cs="Times New Roman"/>
                <w:b/>
              </w:rPr>
              <w:t>Sobolewo</w:t>
            </w:r>
          </w:p>
        </w:tc>
        <w:tc>
          <w:tcPr>
            <w:tcW w:w="2044" w:type="dxa"/>
            <w:vMerge w:val="restart"/>
          </w:tcPr>
          <w:p w14:paraId="769A784A" w14:textId="77777777" w:rsidR="009A43A3" w:rsidRPr="00AA6D71" w:rsidRDefault="009A43A3" w:rsidP="009A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9889" w14:textId="77777777" w:rsidR="009A43A3" w:rsidRPr="00AA6D71" w:rsidRDefault="009A43A3" w:rsidP="009A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977BE" w14:textId="77777777" w:rsidR="009A43A3" w:rsidRPr="00AA6D71" w:rsidRDefault="009A43A3" w:rsidP="009A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sz w:val="24"/>
                <w:szCs w:val="24"/>
              </w:rPr>
              <w:t>SU1S/00056952/8</w:t>
            </w:r>
          </w:p>
        </w:tc>
        <w:tc>
          <w:tcPr>
            <w:tcW w:w="1641" w:type="dxa"/>
          </w:tcPr>
          <w:p w14:paraId="55A819E0" w14:textId="56E00137" w:rsidR="005E2BE9" w:rsidRDefault="009A43A3" w:rsidP="005E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sz w:val="24"/>
                <w:szCs w:val="24"/>
              </w:rPr>
              <w:t>3,8568</w:t>
            </w:r>
          </w:p>
          <w:p w14:paraId="6CE6BAE6" w14:textId="219095FD" w:rsidR="005E2BE9" w:rsidRPr="005E2BE9" w:rsidRDefault="005E2BE9" w:rsidP="00C422B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RV 0,8431 </w:t>
            </w:r>
          </w:p>
          <w:p w14:paraId="4A3381CC" w14:textId="20D4DF8B" w:rsidR="005E2BE9" w:rsidRPr="005E2BE9" w:rsidRDefault="005E2BE9" w:rsidP="00C42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RVI 3,0137</w:t>
            </w:r>
          </w:p>
        </w:tc>
        <w:tc>
          <w:tcPr>
            <w:tcW w:w="4253" w:type="dxa"/>
            <w:vMerge w:val="restart"/>
          </w:tcPr>
          <w:p w14:paraId="35075DC8" w14:textId="47EB7CE2" w:rsidR="006C6618" w:rsidRPr="008B30C9" w:rsidRDefault="009E7B18" w:rsidP="006C66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Nieruchomości gruntowe</w:t>
            </w:r>
            <w:r w:rsidR="009A43A3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niezabudowan</w:t>
            </w: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e położone na terenie i obszarze górniczym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ze złożami kopalin, piasku ze żwirem</w:t>
            </w: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43A3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Łączny obszar działek wynosi 10,8578 ha, kształt zbliżony do prostokąta o wymiarach  ok. </w:t>
            </w:r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m (szer.) </w:t>
            </w:r>
            <w:r w:rsidR="00DD25C8" w:rsidRPr="008B30C9">
              <w:rPr>
                <w:rFonts w:ascii="Times New Roman" w:hAnsi="Times New Roman" w:cs="Times New Roman"/>
                <w:sz w:val="18"/>
                <w:szCs w:val="18"/>
              </w:rPr>
              <w:t>924m/1012 m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(dł</w:t>
            </w:r>
            <w:r w:rsidR="00DD25C8" w:rsidRPr="008B3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="00745B87" w:rsidRPr="008B30C9">
              <w:rPr>
                <w:rFonts w:ascii="Times New Roman" w:hAnsi="Times New Roman" w:cs="Times New Roman"/>
                <w:sz w:val="18"/>
                <w:szCs w:val="18"/>
              </w:rPr>
              <w:t>Działki nr 240 oraz 246 objęte były</w:t>
            </w:r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25C8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do dnia 30.04.2023 r. </w:t>
            </w:r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>decyzją Marszałka Woj.</w:t>
            </w:r>
            <w:r w:rsidR="00DD25C8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>Podl</w:t>
            </w:r>
            <w:proofErr w:type="spellEnd"/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>., którą udzielono koncesji na wydobycie kruszywa naturalnego</w:t>
            </w:r>
            <w:r w:rsidR="00DD25C8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2BE9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ze złoża „Sobolewo II” </w:t>
            </w:r>
            <w:r w:rsidR="00650C9D" w:rsidRPr="008B30C9">
              <w:rPr>
                <w:rFonts w:ascii="Times New Roman" w:hAnsi="Times New Roman" w:cs="Times New Roman"/>
                <w:sz w:val="18"/>
                <w:szCs w:val="18"/>
              </w:rPr>
              <w:t>Teren sąsiedni równinny, pola uprawne. Te</w:t>
            </w:r>
            <w:r w:rsidR="006C6618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ren nie ogrodzony, na nieruchomości w północno-zachodniej części wjazd gruntowy na teren górniczy wyrobiska  zabezpieczony szlabanem ograniczającym wjazd. </w:t>
            </w:r>
          </w:p>
          <w:p w14:paraId="76A57FFE" w14:textId="77777777" w:rsidR="009A43A3" w:rsidRPr="008B30C9" w:rsidRDefault="009A43A3" w:rsidP="006C66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W planie zagospodarowania przestrzennego działk</w:t>
            </w:r>
            <w:r w:rsidR="006C6618" w:rsidRPr="008B30C9">
              <w:rPr>
                <w:rFonts w:ascii="Times New Roman" w:hAnsi="Times New Roman" w:cs="Times New Roman"/>
                <w:sz w:val="18"/>
                <w:szCs w:val="18"/>
              </w:rPr>
              <w:t>i położone są na terenie oznaczonym symbolem 1PG – tereny górnicze.</w:t>
            </w: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62C3845" w14:textId="7B969080" w:rsidR="009A43A3" w:rsidRPr="008B30C9" w:rsidRDefault="0062594B" w:rsidP="008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9">
              <w:rPr>
                <w:rFonts w:ascii="Times New Roman" w:hAnsi="Times New Roman" w:cs="Times New Roman"/>
                <w:sz w:val="24"/>
                <w:szCs w:val="24"/>
              </w:rPr>
              <w:t>1.446.500,00</w:t>
            </w:r>
          </w:p>
        </w:tc>
        <w:tc>
          <w:tcPr>
            <w:tcW w:w="2268" w:type="dxa"/>
            <w:vMerge w:val="restart"/>
          </w:tcPr>
          <w:p w14:paraId="297798CB" w14:textId="77777777" w:rsidR="008E435E" w:rsidRPr="008B30C9" w:rsidRDefault="008E435E" w:rsidP="008E4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Uchwała Nr LXI/658/24</w:t>
            </w:r>
          </w:p>
          <w:p w14:paraId="6C2D6289" w14:textId="77777777" w:rsidR="008E435E" w:rsidRPr="008B30C9" w:rsidRDefault="008E435E" w:rsidP="008E4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Rady Gminy Suwałki</w:t>
            </w:r>
          </w:p>
          <w:p w14:paraId="242A03DA" w14:textId="77777777" w:rsidR="008E435E" w:rsidRPr="008B30C9" w:rsidRDefault="008E435E" w:rsidP="008E43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z dnia 23 stycznia 2024 r.</w:t>
            </w:r>
          </w:p>
          <w:p w14:paraId="7AE29331" w14:textId="77777777" w:rsidR="009A43A3" w:rsidRPr="008B30C9" w:rsidRDefault="008E435E" w:rsidP="008E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w sprawie wyrażenia zgody na zbycie nieruchomości położonych w obrębie ewidencyjnym Sobolewo.</w:t>
            </w:r>
          </w:p>
        </w:tc>
      </w:tr>
      <w:tr w:rsidR="00AA6D71" w:rsidRPr="00AA6D71" w14:paraId="605ECECD" w14:textId="77777777" w:rsidTr="00381935">
        <w:trPr>
          <w:trHeight w:val="830"/>
        </w:trPr>
        <w:tc>
          <w:tcPr>
            <w:tcW w:w="425" w:type="dxa"/>
            <w:vMerge/>
          </w:tcPr>
          <w:p w14:paraId="6235E5D7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BF57D9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1701" w:type="dxa"/>
            <w:vMerge/>
          </w:tcPr>
          <w:p w14:paraId="6F9A0B80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</w:tcPr>
          <w:p w14:paraId="03B82E61" w14:textId="77777777" w:rsidR="009A43A3" w:rsidRPr="00AA6D71" w:rsidRDefault="009A43A3" w:rsidP="00C4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0F13367" w14:textId="40D56DBF" w:rsidR="005E2BE9" w:rsidRDefault="009A43A3" w:rsidP="005E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sz w:val="24"/>
                <w:szCs w:val="24"/>
              </w:rPr>
              <w:t>6,9337</w:t>
            </w:r>
          </w:p>
          <w:p w14:paraId="4BD802E6" w14:textId="5731E4C5" w:rsidR="005E2BE9" w:rsidRPr="005E2BE9" w:rsidRDefault="005E2BE9" w:rsidP="00C422B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RVI</w:t>
            </w:r>
          </w:p>
        </w:tc>
        <w:tc>
          <w:tcPr>
            <w:tcW w:w="4253" w:type="dxa"/>
            <w:vMerge/>
          </w:tcPr>
          <w:p w14:paraId="38F40C38" w14:textId="77777777" w:rsidR="009A43A3" w:rsidRPr="008B30C9" w:rsidRDefault="009A43A3" w:rsidP="008E35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8591F2" w14:textId="77777777" w:rsidR="009A43A3" w:rsidRPr="008B30C9" w:rsidRDefault="009A43A3" w:rsidP="008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3C9CF8" w14:textId="77777777" w:rsidR="009A43A3" w:rsidRPr="008B30C9" w:rsidRDefault="009A43A3" w:rsidP="008E3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D71" w:rsidRPr="00AA6D71" w14:paraId="6E01D822" w14:textId="77777777" w:rsidTr="00381935">
        <w:trPr>
          <w:trHeight w:val="830"/>
        </w:trPr>
        <w:tc>
          <w:tcPr>
            <w:tcW w:w="425" w:type="dxa"/>
            <w:vMerge/>
          </w:tcPr>
          <w:p w14:paraId="3030804A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B66D59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b/>
                <w:sz w:val="24"/>
                <w:szCs w:val="24"/>
              </w:rPr>
              <w:t>243/2</w:t>
            </w:r>
          </w:p>
        </w:tc>
        <w:tc>
          <w:tcPr>
            <w:tcW w:w="1701" w:type="dxa"/>
            <w:vMerge/>
          </w:tcPr>
          <w:p w14:paraId="248DE0B3" w14:textId="77777777" w:rsidR="009A43A3" w:rsidRPr="00AA6D71" w:rsidRDefault="009A43A3" w:rsidP="00B9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71F2060C" w14:textId="77777777" w:rsidR="009A43A3" w:rsidRPr="00AA6D71" w:rsidRDefault="009A43A3" w:rsidP="00C4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sz w:val="24"/>
                <w:szCs w:val="24"/>
              </w:rPr>
              <w:t>SU1S/00064527/9</w:t>
            </w:r>
          </w:p>
        </w:tc>
        <w:tc>
          <w:tcPr>
            <w:tcW w:w="1641" w:type="dxa"/>
          </w:tcPr>
          <w:p w14:paraId="64D39ECB" w14:textId="5237C6E0" w:rsidR="005E2BE9" w:rsidRDefault="009A43A3" w:rsidP="005E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71">
              <w:rPr>
                <w:rFonts w:ascii="Times New Roman" w:hAnsi="Times New Roman" w:cs="Times New Roman"/>
                <w:sz w:val="24"/>
                <w:szCs w:val="24"/>
              </w:rPr>
              <w:t>0,0673</w:t>
            </w:r>
          </w:p>
          <w:p w14:paraId="6CDEDE16" w14:textId="7DA56353" w:rsidR="005E2BE9" w:rsidRPr="005E2BE9" w:rsidRDefault="005E2BE9" w:rsidP="00C422B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E2B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dr</w:t>
            </w:r>
          </w:p>
        </w:tc>
        <w:tc>
          <w:tcPr>
            <w:tcW w:w="4253" w:type="dxa"/>
            <w:vMerge/>
          </w:tcPr>
          <w:p w14:paraId="3CFAE934" w14:textId="77777777" w:rsidR="009A43A3" w:rsidRPr="008B30C9" w:rsidRDefault="009A43A3" w:rsidP="008E35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D1496F" w14:textId="77777777" w:rsidR="009A43A3" w:rsidRPr="008B30C9" w:rsidRDefault="009A43A3" w:rsidP="008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FADD1F" w14:textId="77777777" w:rsidR="009A43A3" w:rsidRPr="008B30C9" w:rsidRDefault="009A43A3" w:rsidP="008E3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D71" w:rsidRPr="00AA6D71" w14:paraId="0C687C6D" w14:textId="77777777" w:rsidTr="00F22E53">
        <w:trPr>
          <w:trHeight w:val="557"/>
        </w:trPr>
        <w:tc>
          <w:tcPr>
            <w:tcW w:w="15168" w:type="dxa"/>
            <w:gridSpan w:val="8"/>
            <w:shd w:val="clear" w:color="auto" w:fill="E2EFD9" w:themeFill="accent6" w:themeFillTint="33"/>
          </w:tcPr>
          <w:p w14:paraId="57CD8F0E" w14:textId="77777777" w:rsidR="00143D40" w:rsidRPr="008B30C9" w:rsidRDefault="004646C8" w:rsidP="00723B6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NIERUCHOMOŚCI PRZEZNACZONYCH DO SPRZEDAŻY </w:t>
            </w:r>
            <w:r w:rsidRPr="008B3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BEZPRZETARGOWEJ</w:t>
            </w:r>
            <w:r w:rsidRPr="008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02C" w:rsidRPr="008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3D40" w:rsidRPr="008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POPRAWĘ WARUNKÓW ZAGOSPODAROWANIA NIERUCHOMOŚCI PRZYLEGŁEJ </w:t>
            </w:r>
            <w:r w:rsidR="00143D40" w:rsidRPr="008B30C9">
              <w:rPr>
                <w:rFonts w:ascii="Times New Roman" w:hAnsi="Times New Roman" w:cs="Times New Roman"/>
                <w:sz w:val="24"/>
                <w:szCs w:val="24"/>
              </w:rPr>
              <w:t>(art. 37 ust.2 pkt 6)</w:t>
            </w:r>
          </w:p>
          <w:p w14:paraId="03F5EBEC" w14:textId="77777777" w:rsidR="004646C8" w:rsidRPr="008B30C9" w:rsidRDefault="004646C8" w:rsidP="00932F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D71" w:rsidRPr="00AA6D71" w14:paraId="3FC9D520" w14:textId="77777777" w:rsidTr="00381935">
        <w:tc>
          <w:tcPr>
            <w:tcW w:w="425" w:type="dxa"/>
          </w:tcPr>
          <w:p w14:paraId="1F7A2436" w14:textId="77777777" w:rsidR="005D7D42" w:rsidRPr="00AA6D71" w:rsidRDefault="005D7D42" w:rsidP="005B6422">
            <w:pPr>
              <w:jc w:val="center"/>
              <w:rPr>
                <w:rFonts w:ascii="Times New Roman" w:hAnsi="Times New Roman" w:cs="Times New Roman"/>
              </w:rPr>
            </w:pPr>
            <w:r w:rsidRPr="00AA6D71">
              <w:rPr>
                <w:rFonts w:ascii="Times New Roman" w:hAnsi="Times New Roman" w:cs="Times New Roman"/>
              </w:rPr>
              <w:t>1</w:t>
            </w:r>
            <w:r w:rsidR="00AA6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2BCBF174" w14:textId="468F8737" w:rsidR="005D7D42" w:rsidRPr="008B30C9" w:rsidRDefault="004B674E" w:rsidP="0046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49FAADB5" w14:textId="77777777" w:rsidR="00DC3F8D" w:rsidRPr="008B30C9" w:rsidRDefault="00DC3F8D" w:rsidP="005B6422">
            <w:pPr>
              <w:jc w:val="center"/>
              <w:rPr>
                <w:rFonts w:ascii="Times New Roman" w:hAnsi="Times New Roman" w:cs="Times New Roman"/>
              </w:rPr>
            </w:pPr>
          </w:p>
          <w:p w14:paraId="67E9057C" w14:textId="77777777" w:rsidR="005D7D42" w:rsidRPr="008B30C9" w:rsidRDefault="004B674E" w:rsidP="005B6422">
            <w:pPr>
              <w:jc w:val="center"/>
              <w:rPr>
                <w:rFonts w:ascii="Times New Roman" w:hAnsi="Times New Roman" w:cs="Times New Roman"/>
              </w:rPr>
            </w:pPr>
            <w:r w:rsidRPr="008B30C9">
              <w:rPr>
                <w:rFonts w:ascii="Times New Roman" w:hAnsi="Times New Roman" w:cs="Times New Roman"/>
              </w:rPr>
              <w:t>0019</w:t>
            </w:r>
          </w:p>
          <w:p w14:paraId="204418C0" w14:textId="2236630F" w:rsidR="004B674E" w:rsidRPr="008B30C9" w:rsidRDefault="004B674E" w:rsidP="005B6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0C9">
              <w:rPr>
                <w:rFonts w:ascii="Times New Roman" w:hAnsi="Times New Roman" w:cs="Times New Roman"/>
                <w:b/>
                <w:bCs/>
              </w:rPr>
              <w:t>Magdalenowo i Wigry</w:t>
            </w:r>
          </w:p>
        </w:tc>
        <w:tc>
          <w:tcPr>
            <w:tcW w:w="2044" w:type="dxa"/>
          </w:tcPr>
          <w:p w14:paraId="6F7636B1" w14:textId="5C1830B4" w:rsidR="005D7D42" w:rsidRPr="008B30C9" w:rsidRDefault="005D7D42" w:rsidP="008E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SU1S/</w:t>
            </w:r>
            <w:r w:rsidR="004B674E" w:rsidRPr="008B30C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00028166/6</w:t>
            </w:r>
          </w:p>
        </w:tc>
        <w:tc>
          <w:tcPr>
            <w:tcW w:w="1641" w:type="dxa"/>
          </w:tcPr>
          <w:p w14:paraId="13AC3E0B" w14:textId="77777777" w:rsidR="005D7D42" w:rsidRPr="008B30C9" w:rsidRDefault="00AA6D71" w:rsidP="008E3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8B30C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0,0</w:t>
            </w:r>
            <w:r w:rsidR="004B674E" w:rsidRPr="008B30C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Pr="008B30C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26 </w:t>
            </w:r>
          </w:p>
          <w:p w14:paraId="251D264E" w14:textId="6E011CF7" w:rsidR="00DD25C8" w:rsidRPr="008B30C9" w:rsidRDefault="00DD25C8" w:rsidP="008E356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B30C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 w:bidi="pl-PL"/>
              </w:rPr>
              <w:t>dr</w:t>
            </w:r>
          </w:p>
        </w:tc>
        <w:tc>
          <w:tcPr>
            <w:tcW w:w="4253" w:type="dxa"/>
          </w:tcPr>
          <w:p w14:paraId="6A533781" w14:textId="17BEEA0E" w:rsidR="00DC3F8D" w:rsidRPr="008B30C9" w:rsidRDefault="00DC3F8D" w:rsidP="00DC3F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>Nieruchomość gruntowa niezabudowana</w:t>
            </w:r>
            <w:r w:rsidR="007E4CFE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. Działka stanowi </w:t>
            </w:r>
            <w:r w:rsidR="00502D23" w:rsidRPr="008B30C9">
              <w:rPr>
                <w:rFonts w:ascii="Times New Roman" w:hAnsi="Times New Roman" w:cs="Times New Roman"/>
                <w:sz w:val="18"/>
                <w:szCs w:val="18"/>
              </w:rPr>
              <w:t>wąski pas gruntu</w:t>
            </w:r>
            <w:r w:rsidR="001C27F7" w:rsidRPr="008B30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02D23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w przeszłości wykorzystywany prawdopodobnie jako pas drogi wewnętrznej. Działka użytkowana przez właściciela działki sąsiedniej. Na terenie działki znajdują się elementy ogrodzen</w:t>
            </w:r>
            <w:r w:rsidR="00381935" w:rsidRPr="008B30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02D23" w:rsidRPr="008B30C9">
              <w:rPr>
                <w:rFonts w:ascii="Times New Roman" w:hAnsi="Times New Roman" w:cs="Times New Roman"/>
                <w:sz w:val="18"/>
                <w:szCs w:val="18"/>
              </w:rPr>
              <w:t>a oraz budynku gospodarczego</w:t>
            </w:r>
            <w:r w:rsidR="00381935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02D23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posadowionego na działce </w:t>
            </w:r>
            <w:r w:rsidR="00381935" w:rsidRPr="008B30C9">
              <w:rPr>
                <w:rFonts w:ascii="Times New Roman" w:hAnsi="Times New Roman" w:cs="Times New Roman"/>
                <w:sz w:val="18"/>
                <w:szCs w:val="18"/>
              </w:rPr>
              <w:t>sąsiedniej</w:t>
            </w:r>
            <w:r w:rsidR="007E4CFE" w:rsidRPr="008B30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1935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Wzdłuż drogi dostępne sieci: kanalizacyjna,</w:t>
            </w:r>
            <w:r w:rsidR="007E4CFE"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 elektroenergetyczna, wodociągowa oraz telekomunikacyjna.</w:t>
            </w:r>
          </w:p>
          <w:p w14:paraId="091A4D5D" w14:textId="0A5D4D50" w:rsidR="00381935" w:rsidRPr="008B30C9" w:rsidRDefault="00381935" w:rsidP="003819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</w:rPr>
              <w:t xml:space="preserve">Nieruchomość nie posiada obowiązującego planu zagospodarowania przestrzennego. </w:t>
            </w:r>
          </w:p>
          <w:p w14:paraId="15854069" w14:textId="529A6B7C" w:rsidR="005D7D42" w:rsidRPr="008B30C9" w:rsidRDefault="005D7D42" w:rsidP="00DC3F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04A8E1" w14:textId="10330A60" w:rsidR="005D7D42" w:rsidRPr="008B30C9" w:rsidRDefault="00381935" w:rsidP="005B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9">
              <w:rPr>
                <w:rFonts w:ascii="Times New Roman" w:hAnsi="Times New Roman" w:cs="Times New Roman"/>
                <w:sz w:val="24"/>
                <w:szCs w:val="24"/>
              </w:rPr>
              <w:t>6.400,00</w:t>
            </w:r>
          </w:p>
        </w:tc>
        <w:tc>
          <w:tcPr>
            <w:tcW w:w="2268" w:type="dxa"/>
          </w:tcPr>
          <w:p w14:paraId="31CF8413" w14:textId="081E12EA" w:rsidR="005D7D42" w:rsidRPr="008B30C9" w:rsidRDefault="005D7D42" w:rsidP="005D7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Uchwała Nr VII/</w:t>
            </w:r>
            <w:r w:rsidR="00381935"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57/24</w:t>
            </w:r>
          </w:p>
          <w:p w14:paraId="010A998F" w14:textId="77777777" w:rsidR="005D7D42" w:rsidRPr="008B30C9" w:rsidRDefault="005D7D42" w:rsidP="005D7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Rady Gminy Suwałki</w:t>
            </w:r>
          </w:p>
          <w:p w14:paraId="0EB1AF76" w14:textId="0300B473" w:rsidR="005D7D42" w:rsidRPr="008B30C9" w:rsidRDefault="005D7D42" w:rsidP="005D7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z dnia 2</w:t>
            </w:r>
            <w:r w:rsidR="001C27F7"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6</w:t>
            </w: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listopada 202</w:t>
            </w:r>
            <w:r w:rsidR="001C27F7"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4</w:t>
            </w: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r.</w:t>
            </w:r>
          </w:p>
          <w:p w14:paraId="51A4F14C" w14:textId="095B89B7" w:rsidR="005D7D42" w:rsidRPr="008B30C9" w:rsidRDefault="005D7D42" w:rsidP="005D7D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w sprawie wyrażenia zgody na zbycie nieruchomości położonej w obrębie ewidencyjnym </w:t>
            </w:r>
            <w:r w:rsidR="001C27F7" w:rsidRPr="008B30C9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Magdalenowo i Wigry.</w:t>
            </w:r>
          </w:p>
        </w:tc>
      </w:tr>
    </w:tbl>
    <w:p w14:paraId="3B074383" w14:textId="77777777" w:rsidR="00B96F8E" w:rsidRPr="00AA6D71" w:rsidRDefault="00B96F8E" w:rsidP="00B96F8E">
      <w:pPr>
        <w:rPr>
          <w:rFonts w:ascii="Times New Roman" w:hAnsi="Times New Roman" w:cs="Times New Roman"/>
          <w:sz w:val="24"/>
          <w:szCs w:val="24"/>
        </w:rPr>
      </w:pPr>
      <w:r w:rsidRPr="00AA6D71">
        <w:rPr>
          <w:rFonts w:ascii="Times New Roman" w:hAnsi="Times New Roman" w:cs="Times New Roman"/>
          <w:sz w:val="24"/>
          <w:szCs w:val="24"/>
        </w:rPr>
        <w:lastRenderedPageBreak/>
        <w:t>Uwagi:</w:t>
      </w:r>
    </w:p>
    <w:p w14:paraId="20B5D727" w14:textId="77777777" w:rsidR="00B96F8E" w:rsidRPr="00AA6D71" w:rsidRDefault="00B96F8E" w:rsidP="004607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D71">
        <w:rPr>
          <w:rFonts w:ascii="Times New Roman" w:hAnsi="Times New Roman" w:cs="Times New Roman"/>
          <w:sz w:val="24"/>
          <w:szCs w:val="24"/>
        </w:rPr>
        <w:t>Nieruchomości są wolne od jakichkolwiek obciążeń i praw osób trzecich</w:t>
      </w:r>
      <w:r w:rsidR="002E0591" w:rsidRPr="00AA6D71">
        <w:rPr>
          <w:rFonts w:ascii="Times New Roman" w:hAnsi="Times New Roman" w:cs="Times New Roman"/>
          <w:sz w:val="24"/>
          <w:szCs w:val="24"/>
        </w:rPr>
        <w:t>.</w:t>
      </w:r>
    </w:p>
    <w:p w14:paraId="7B0BAF7B" w14:textId="1415660D" w:rsidR="00116DB4" w:rsidRPr="008B30C9" w:rsidRDefault="00B96F8E" w:rsidP="004607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D71">
        <w:rPr>
          <w:rFonts w:ascii="Times New Roman" w:hAnsi="Times New Roman" w:cs="Times New Roman"/>
          <w:sz w:val="24"/>
          <w:szCs w:val="24"/>
        </w:rPr>
        <w:t>Poprzedni właściciele zbywanych nieruchomości, pozbawieni prawa własności tych nieruchomości przed  dniem 5 grudnia 1990 roku albo ich spadkobiercom mają pierwszeństwo w ich nabyciu, jeżeli złożą wniosek o</w:t>
      </w:r>
      <w:r w:rsidR="00E470C7" w:rsidRPr="00AA6D71">
        <w:rPr>
          <w:rFonts w:ascii="Times New Roman" w:hAnsi="Times New Roman" w:cs="Times New Roman"/>
          <w:sz w:val="24"/>
          <w:szCs w:val="24"/>
        </w:rPr>
        <w:t xml:space="preserve"> ich</w:t>
      </w:r>
      <w:r w:rsidRPr="00AA6D71">
        <w:rPr>
          <w:rFonts w:ascii="Times New Roman" w:hAnsi="Times New Roman" w:cs="Times New Roman"/>
          <w:sz w:val="24"/>
          <w:szCs w:val="24"/>
        </w:rPr>
        <w:t xml:space="preserve"> nabycie w terminie 6 tygodni, liczą</w:t>
      </w:r>
      <w:r w:rsidR="00D04666" w:rsidRPr="00AA6D71">
        <w:rPr>
          <w:rFonts w:ascii="Times New Roman" w:hAnsi="Times New Roman" w:cs="Times New Roman"/>
          <w:sz w:val="24"/>
          <w:szCs w:val="24"/>
        </w:rPr>
        <w:t xml:space="preserve">c od dnia wywieszenia wykazu </w:t>
      </w:r>
      <w:r w:rsidR="00116DB4" w:rsidRPr="008B30C9">
        <w:rPr>
          <w:rFonts w:ascii="Times New Roman" w:hAnsi="Times New Roman" w:cs="Times New Roman"/>
          <w:sz w:val="24"/>
          <w:szCs w:val="24"/>
        </w:rPr>
        <w:t>(</w:t>
      </w:r>
      <w:r w:rsidR="00E470C7" w:rsidRPr="008B30C9">
        <w:rPr>
          <w:rFonts w:ascii="Times New Roman" w:hAnsi="Times New Roman" w:cs="Times New Roman"/>
          <w:sz w:val="24"/>
          <w:szCs w:val="24"/>
        </w:rPr>
        <w:t>tj.</w:t>
      </w:r>
      <w:r w:rsidR="00AA6D71" w:rsidRPr="008B30C9">
        <w:rPr>
          <w:rFonts w:ascii="Times New Roman" w:hAnsi="Times New Roman" w:cs="Times New Roman"/>
          <w:sz w:val="24"/>
          <w:szCs w:val="24"/>
        </w:rPr>
        <w:t xml:space="preserve"> </w:t>
      </w:r>
      <w:r w:rsidR="0046070D" w:rsidRPr="008B30C9">
        <w:rPr>
          <w:rFonts w:ascii="Times New Roman" w:hAnsi="Times New Roman" w:cs="Times New Roman"/>
          <w:sz w:val="24"/>
          <w:szCs w:val="24"/>
        </w:rPr>
        <w:t xml:space="preserve">od dnia </w:t>
      </w:r>
      <w:r w:rsidR="00DD25C8" w:rsidRPr="008B30C9">
        <w:rPr>
          <w:rFonts w:ascii="Times New Roman" w:hAnsi="Times New Roman" w:cs="Times New Roman"/>
          <w:sz w:val="24"/>
          <w:szCs w:val="24"/>
        </w:rPr>
        <w:t>20 stycznia</w:t>
      </w:r>
      <w:r w:rsidR="00E470C7" w:rsidRPr="008B30C9">
        <w:rPr>
          <w:rFonts w:ascii="Times New Roman" w:hAnsi="Times New Roman" w:cs="Times New Roman"/>
          <w:sz w:val="24"/>
          <w:szCs w:val="24"/>
        </w:rPr>
        <w:t xml:space="preserve"> 202</w:t>
      </w:r>
      <w:r w:rsidR="00DD25C8" w:rsidRPr="008B30C9">
        <w:rPr>
          <w:rFonts w:ascii="Times New Roman" w:hAnsi="Times New Roman" w:cs="Times New Roman"/>
          <w:sz w:val="24"/>
          <w:szCs w:val="24"/>
        </w:rPr>
        <w:t>5</w:t>
      </w:r>
      <w:r w:rsidR="0046070D" w:rsidRPr="008B30C9">
        <w:rPr>
          <w:rFonts w:ascii="Times New Roman" w:hAnsi="Times New Roman" w:cs="Times New Roman"/>
          <w:sz w:val="24"/>
          <w:szCs w:val="24"/>
        </w:rPr>
        <w:t xml:space="preserve"> r. </w:t>
      </w:r>
      <w:r w:rsidR="00116DB4" w:rsidRPr="008B30C9">
        <w:rPr>
          <w:rFonts w:ascii="Times New Roman" w:hAnsi="Times New Roman" w:cs="Times New Roman"/>
          <w:sz w:val="24"/>
          <w:szCs w:val="24"/>
        </w:rPr>
        <w:t xml:space="preserve">do dnia </w:t>
      </w:r>
      <w:r w:rsidR="00DD25C8" w:rsidRPr="008B30C9">
        <w:rPr>
          <w:rFonts w:ascii="Times New Roman" w:hAnsi="Times New Roman" w:cs="Times New Roman"/>
          <w:sz w:val="24"/>
          <w:szCs w:val="24"/>
        </w:rPr>
        <w:t>03</w:t>
      </w:r>
      <w:r w:rsidR="00E470C7" w:rsidRPr="008B30C9">
        <w:rPr>
          <w:rFonts w:ascii="Times New Roman" w:hAnsi="Times New Roman" w:cs="Times New Roman"/>
          <w:sz w:val="24"/>
          <w:szCs w:val="24"/>
        </w:rPr>
        <w:t xml:space="preserve"> marca</w:t>
      </w:r>
      <w:r w:rsidR="006F16B0" w:rsidRPr="008B30C9">
        <w:rPr>
          <w:rFonts w:ascii="Times New Roman" w:hAnsi="Times New Roman" w:cs="Times New Roman"/>
          <w:sz w:val="24"/>
          <w:szCs w:val="24"/>
        </w:rPr>
        <w:t xml:space="preserve"> 202</w:t>
      </w:r>
      <w:r w:rsidR="00DD25C8" w:rsidRPr="008B30C9">
        <w:rPr>
          <w:rFonts w:ascii="Times New Roman" w:hAnsi="Times New Roman" w:cs="Times New Roman"/>
          <w:sz w:val="24"/>
          <w:szCs w:val="24"/>
        </w:rPr>
        <w:t>5</w:t>
      </w:r>
      <w:r w:rsidR="00116DB4" w:rsidRPr="008B30C9">
        <w:rPr>
          <w:rFonts w:ascii="Times New Roman" w:hAnsi="Times New Roman" w:cs="Times New Roman"/>
          <w:sz w:val="24"/>
          <w:szCs w:val="24"/>
        </w:rPr>
        <w:t xml:space="preserve"> r.) </w:t>
      </w:r>
      <w:r w:rsidRPr="008B30C9">
        <w:rPr>
          <w:rFonts w:ascii="Times New Roman" w:hAnsi="Times New Roman" w:cs="Times New Roman"/>
          <w:sz w:val="24"/>
          <w:szCs w:val="24"/>
        </w:rPr>
        <w:t>i złożą oświadczenie, że wyrażają zgodę na cenę określoną w wykazie</w:t>
      </w:r>
      <w:r w:rsidR="003B7289" w:rsidRPr="008B30C9">
        <w:rPr>
          <w:rFonts w:ascii="Times New Roman" w:hAnsi="Times New Roman" w:cs="Times New Roman"/>
          <w:sz w:val="24"/>
          <w:szCs w:val="24"/>
        </w:rPr>
        <w:t>.</w:t>
      </w:r>
      <w:r w:rsidR="00116DB4" w:rsidRPr="008B3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80A5B" w14:textId="44D9F101" w:rsidR="00015509" w:rsidRPr="008B30C9" w:rsidRDefault="00B96F8E" w:rsidP="006F16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0C9">
        <w:rPr>
          <w:rFonts w:ascii="Times New Roman" w:hAnsi="Times New Roman" w:cs="Times New Roman"/>
          <w:sz w:val="24"/>
          <w:szCs w:val="24"/>
        </w:rPr>
        <w:t xml:space="preserve">Wykaz </w:t>
      </w:r>
      <w:r w:rsidR="002E0591" w:rsidRPr="008B30C9">
        <w:rPr>
          <w:rFonts w:ascii="Times New Roman" w:hAnsi="Times New Roman" w:cs="Times New Roman"/>
          <w:sz w:val="24"/>
          <w:szCs w:val="24"/>
        </w:rPr>
        <w:t xml:space="preserve">niniejszy zostaje </w:t>
      </w:r>
      <w:r w:rsidRPr="008B30C9">
        <w:rPr>
          <w:rFonts w:ascii="Times New Roman" w:hAnsi="Times New Roman" w:cs="Times New Roman"/>
          <w:sz w:val="24"/>
          <w:szCs w:val="24"/>
        </w:rPr>
        <w:t>wywiesz</w:t>
      </w:r>
      <w:r w:rsidR="002E0591" w:rsidRPr="008B30C9">
        <w:rPr>
          <w:rFonts w:ascii="Times New Roman" w:hAnsi="Times New Roman" w:cs="Times New Roman"/>
          <w:sz w:val="24"/>
          <w:szCs w:val="24"/>
        </w:rPr>
        <w:t>ony na tablicy ogłoszeń</w:t>
      </w:r>
      <w:r w:rsidRPr="008B30C9">
        <w:rPr>
          <w:rFonts w:ascii="Times New Roman" w:hAnsi="Times New Roman" w:cs="Times New Roman"/>
          <w:sz w:val="24"/>
          <w:szCs w:val="24"/>
        </w:rPr>
        <w:t xml:space="preserve"> Urzędu Gminy Suwałki</w:t>
      </w:r>
      <w:r w:rsidR="002E0591" w:rsidRPr="008B30C9">
        <w:rPr>
          <w:rFonts w:ascii="Times New Roman" w:hAnsi="Times New Roman" w:cs="Times New Roman"/>
          <w:sz w:val="24"/>
          <w:szCs w:val="24"/>
        </w:rPr>
        <w:t xml:space="preserve"> na</w:t>
      </w:r>
      <w:r w:rsidRPr="008B30C9">
        <w:rPr>
          <w:rFonts w:ascii="Times New Roman" w:hAnsi="Times New Roman" w:cs="Times New Roman"/>
          <w:sz w:val="24"/>
          <w:szCs w:val="24"/>
        </w:rPr>
        <w:t xml:space="preserve"> okres 21 dni</w:t>
      </w:r>
      <w:r w:rsidR="00800843" w:rsidRPr="008B30C9">
        <w:rPr>
          <w:rFonts w:ascii="Times New Roman" w:hAnsi="Times New Roman" w:cs="Times New Roman"/>
          <w:sz w:val="24"/>
          <w:szCs w:val="24"/>
        </w:rPr>
        <w:t>, tj.</w:t>
      </w:r>
      <w:r w:rsidR="0091395D" w:rsidRPr="008B30C9">
        <w:rPr>
          <w:rFonts w:ascii="Times New Roman" w:hAnsi="Times New Roman" w:cs="Times New Roman"/>
          <w:sz w:val="24"/>
          <w:szCs w:val="24"/>
        </w:rPr>
        <w:t xml:space="preserve"> </w:t>
      </w:r>
      <w:r w:rsidR="00DD25C8" w:rsidRPr="008B30C9">
        <w:rPr>
          <w:rFonts w:ascii="Times New Roman" w:hAnsi="Times New Roman" w:cs="Times New Roman"/>
          <w:sz w:val="24"/>
          <w:szCs w:val="24"/>
        </w:rPr>
        <w:t>20 stycznia 2025 r</w:t>
      </w:r>
      <w:r w:rsidR="006F16B0" w:rsidRPr="008B30C9">
        <w:rPr>
          <w:rFonts w:ascii="Times New Roman" w:hAnsi="Times New Roman" w:cs="Times New Roman"/>
          <w:sz w:val="24"/>
          <w:szCs w:val="24"/>
        </w:rPr>
        <w:t xml:space="preserve">. do dnia </w:t>
      </w:r>
      <w:r w:rsidR="00DD25C8" w:rsidRPr="008B30C9">
        <w:rPr>
          <w:rFonts w:ascii="Times New Roman" w:hAnsi="Times New Roman" w:cs="Times New Roman"/>
          <w:sz w:val="24"/>
        </w:rPr>
        <w:t>10</w:t>
      </w:r>
      <w:r w:rsidR="00AA6D71" w:rsidRPr="008B30C9">
        <w:rPr>
          <w:rFonts w:ascii="Times New Roman" w:hAnsi="Times New Roman" w:cs="Times New Roman"/>
          <w:sz w:val="24"/>
        </w:rPr>
        <w:t xml:space="preserve"> lutego</w:t>
      </w:r>
      <w:r w:rsidR="006F16B0" w:rsidRPr="008B30C9">
        <w:rPr>
          <w:rFonts w:ascii="Times New Roman" w:hAnsi="Times New Roman" w:cs="Times New Roman"/>
          <w:sz w:val="24"/>
        </w:rPr>
        <w:t xml:space="preserve"> 202</w:t>
      </w:r>
      <w:r w:rsidR="00DD25C8" w:rsidRPr="008B30C9">
        <w:rPr>
          <w:rFonts w:ascii="Times New Roman" w:hAnsi="Times New Roman" w:cs="Times New Roman"/>
          <w:sz w:val="24"/>
        </w:rPr>
        <w:t>5</w:t>
      </w:r>
      <w:r w:rsidR="006F16B0" w:rsidRPr="008B30C9">
        <w:rPr>
          <w:rFonts w:ascii="Times New Roman" w:hAnsi="Times New Roman" w:cs="Times New Roman"/>
          <w:sz w:val="24"/>
        </w:rPr>
        <w:t xml:space="preserve"> r</w:t>
      </w:r>
      <w:r w:rsidR="00DD25C8" w:rsidRPr="008B30C9">
        <w:rPr>
          <w:rFonts w:ascii="Times New Roman" w:hAnsi="Times New Roman" w:cs="Times New Roman"/>
          <w:sz w:val="24"/>
        </w:rPr>
        <w:t>.</w:t>
      </w:r>
      <w:r w:rsidR="00D04666" w:rsidRPr="008B30C9">
        <w:rPr>
          <w:rFonts w:ascii="Times New Roman" w:hAnsi="Times New Roman" w:cs="Times New Roman"/>
          <w:sz w:val="24"/>
          <w:szCs w:val="24"/>
        </w:rPr>
        <w:t xml:space="preserve"> </w:t>
      </w:r>
      <w:r w:rsidR="002E0591" w:rsidRPr="008B30C9">
        <w:rPr>
          <w:rFonts w:ascii="Times New Roman" w:hAnsi="Times New Roman" w:cs="Times New Roman"/>
          <w:sz w:val="24"/>
          <w:szCs w:val="24"/>
        </w:rPr>
        <w:t xml:space="preserve">oraz zamieszczony na stronie internetowej </w:t>
      </w:r>
      <w:hyperlink r:id="rId8" w:history="1">
        <w:r w:rsidR="002E0591" w:rsidRPr="008B30C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www.gmina.suwalki.pl</w:t>
        </w:r>
      </w:hyperlink>
      <w:r w:rsidR="002E0591" w:rsidRPr="008B30C9">
        <w:rPr>
          <w:rFonts w:ascii="Times New Roman" w:hAnsi="Times New Roman" w:cs="Times New Roman"/>
          <w:sz w:val="24"/>
          <w:szCs w:val="24"/>
        </w:rPr>
        <w:t xml:space="preserve"> </w:t>
      </w:r>
      <w:r w:rsidR="006F16B0" w:rsidRPr="008B30C9">
        <w:rPr>
          <w:rFonts w:ascii="Times New Roman" w:hAnsi="Times New Roman" w:cs="Times New Roman"/>
          <w:sz w:val="24"/>
          <w:szCs w:val="24"/>
        </w:rPr>
        <w:t>.</w:t>
      </w:r>
    </w:p>
    <w:p w14:paraId="6E920485" w14:textId="77777777" w:rsidR="00015509" w:rsidRPr="008B30C9" w:rsidRDefault="00015509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72C45CBF" w14:textId="203F3CA1" w:rsidR="0057647F" w:rsidRPr="0057647F" w:rsidRDefault="008B30C9" w:rsidP="0057647F">
      <w:pPr>
        <w:spacing w:line="256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Z-ca </w:t>
      </w:r>
      <w:r w:rsidR="0057647F" w:rsidRPr="0057647F">
        <w:rPr>
          <w:rFonts w:ascii="Times New Roman" w:eastAsia="Calibri" w:hAnsi="Times New Roman" w:cs="Times New Roman"/>
          <w:b/>
        </w:rPr>
        <w:t>Wójt</w:t>
      </w:r>
      <w:r>
        <w:rPr>
          <w:rFonts w:ascii="Times New Roman" w:eastAsia="Calibri" w:hAnsi="Times New Roman" w:cs="Times New Roman"/>
          <w:b/>
        </w:rPr>
        <w:t>a</w:t>
      </w:r>
      <w:r w:rsidR="0057647F" w:rsidRPr="0057647F">
        <w:rPr>
          <w:rFonts w:ascii="Times New Roman" w:eastAsia="Calibri" w:hAnsi="Times New Roman" w:cs="Times New Roman"/>
          <w:b/>
        </w:rPr>
        <w:t xml:space="preserve"> Gminy Suwałki</w:t>
      </w:r>
    </w:p>
    <w:p w14:paraId="72270418" w14:textId="0B3544DC" w:rsidR="0057647F" w:rsidRPr="0057647F" w:rsidRDefault="0057647F" w:rsidP="0057647F">
      <w:pPr>
        <w:spacing w:line="256" w:lineRule="auto"/>
        <w:jc w:val="right"/>
        <w:rPr>
          <w:rFonts w:ascii="Times New Roman" w:eastAsia="Calibri" w:hAnsi="Times New Roman" w:cs="Times New Roman"/>
          <w:b/>
        </w:rPr>
      </w:pPr>
      <w:r w:rsidRPr="0057647F">
        <w:rPr>
          <w:rFonts w:ascii="Times New Roman" w:eastAsia="Calibri" w:hAnsi="Times New Roman" w:cs="Times New Roman"/>
          <w:b/>
        </w:rPr>
        <w:t>/-/</w:t>
      </w:r>
      <w:r w:rsidR="008B30C9">
        <w:rPr>
          <w:rFonts w:ascii="Times New Roman" w:eastAsia="Calibri" w:hAnsi="Times New Roman" w:cs="Times New Roman"/>
          <w:b/>
        </w:rPr>
        <w:t xml:space="preserve">Krzysztof Andrzej </w:t>
      </w:r>
      <w:proofErr w:type="spellStart"/>
      <w:r w:rsidR="008B30C9">
        <w:rPr>
          <w:rFonts w:ascii="Times New Roman" w:eastAsia="Calibri" w:hAnsi="Times New Roman" w:cs="Times New Roman"/>
          <w:b/>
        </w:rPr>
        <w:t>Gwaj</w:t>
      </w:r>
      <w:proofErr w:type="spellEnd"/>
    </w:p>
    <w:p w14:paraId="5DD4FE89" w14:textId="77777777" w:rsidR="00015509" w:rsidRPr="00513A3E" w:rsidRDefault="00015509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4F35A450" w14:textId="77777777" w:rsidR="00015509" w:rsidRPr="00513A3E" w:rsidRDefault="00015509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57ED6308" w14:textId="77777777" w:rsidR="00015509" w:rsidRPr="00513A3E" w:rsidRDefault="00015509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48FD1F2B" w14:textId="77777777" w:rsidR="00015509" w:rsidRDefault="00015509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31A198BA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1F6CE4D3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2F93308B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3CBA1FAF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4B5E5896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7D794E6D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31C2A6EE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138AD1B4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4F9BA6AE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21563535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0343FD7C" w14:textId="77777777" w:rsidR="00AA6D71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62603F9B" w14:textId="77777777" w:rsidR="00AA6D71" w:rsidRPr="00513A3E" w:rsidRDefault="00AA6D7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21751B0B" w14:textId="77777777" w:rsidR="002E0591" w:rsidRPr="00513A3E" w:rsidRDefault="002E0591" w:rsidP="002E0591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</w:p>
    <w:p w14:paraId="249B3789" w14:textId="77777777" w:rsidR="00B96F8E" w:rsidRPr="00513A3E" w:rsidRDefault="003B7289" w:rsidP="00116DB4">
      <w:pPr>
        <w:pStyle w:val="Tekstpodstawowywcity31"/>
        <w:spacing w:line="276" w:lineRule="auto"/>
        <w:ind w:firstLine="0"/>
        <w:jc w:val="both"/>
        <w:rPr>
          <w:rFonts w:eastAsia="Times New Roman" w:cs="Times New Roman"/>
          <w:sz w:val="20"/>
          <w:szCs w:val="20"/>
        </w:rPr>
      </w:pPr>
      <w:r w:rsidRPr="00513A3E">
        <w:rPr>
          <w:rFonts w:eastAsia="Times New Roman" w:cs="Times New Roman"/>
          <w:sz w:val="20"/>
          <w:szCs w:val="20"/>
        </w:rPr>
        <w:t>Szczegółowe informacje</w:t>
      </w:r>
      <w:r w:rsidR="002E0591" w:rsidRPr="00513A3E">
        <w:rPr>
          <w:rFonts w:eastAsia="Times New Roman" w:cs="Times New Roman"/>
          <w:sz w:val="20"/>
          <w:szCs w:val="20"/>
        </w:rPr>
        <w:t xml:space="preserve"> o nieruchomościach zamieszczonych w wykazie można uzyskać w Urzędzie Gminy Suwałki ul. Świerkowa 45, w referacie ds. Mienia Komunalnego, pokój nr 137 lub pod numerem tel. (87) 565-93-73.</w:t>
      </w:r>
    </w:p>
    <w:sectPr w:rsidR="00B96F8E" w:rsidRPr="00513A3E" w:rsidSect="004646C8">
      <w:footerReference w:type="default" r:id="rId9"/>
      <w:pgSz w:w="16838" w:h="11906" w:orient="landscape"/>
      <w:pgMar w:top="284" w:right="1417" w:bottom="709" w:left="1417" w:header="12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8196" w14:textId="77777777" w:rsidR="003929BB" w:rsidRDefault="003929BB" w:rsidP="00B96F8E">
      <w:pPr>
        <w:spacing w:after="0" w:line="240" w:lineRule="auto"/>
      </w:pPr>
      <w:r>
        <w:separator/>
      </w:r>
    </w:p>
  </w:endnote>
  <w:endnote w:type="continuationSeparator" w:id="0">
    <w:p w14:paraId="2BD5B2AF" w14:textId="77777777" w:rsidR="003929BB" w:rsidRDefault="003929BB" w:rsidP="00B9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2000" w14:textId="77777777" w:rsidR="00D81211" w:rsidRDefault="00D81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F66" w14:textId="77777777" w:rsidR="003929BB" w:rsidRDefault="003929BB" w:rsidP="00B96F8E">
      <w:pPr>
        <w:spacing w:after="0" w:line="240" w:lineRule="auto"/>
      </w:pPr>
      <w:r>
        <w:separator/>
      </w:r>
    </w:p>
  </w:footnote>
  <w:footnote w:type="continuationSeparator" w:id="0">
    <w:p w14:paraId="0843B690" w14:textId="77777777" w:rsidR="003929BB" w:rsidRDefault="003929BB" w:rsidP="00B9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735"/>
    <w:multiLevelType w:val="hybridMultilevel"/>
    <w:tmpl w:val="D7CEADCE"/>
    <w:lvl w:ilvl="0" w:tplc="B87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2400"/>
    <w:multiLevelType w:val="hybridMultilevel"/>
    <w:tmpl w:val="D7CEADCE"/>
    <w:lvl w:ilvl="0" w:tplc="B87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617"/>
    <w:multiLevelType w:val="hybridMultilevel"/>
    <w:tmpl w:val="3B6E536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EB4B67"/>
    <w:multiLevelType w:val="hybridMultilevel"/>
    <w:tmpl w:val="2C5C3218"/>
    <w:lvl w:ilvl="0" w:tplc="B87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1DDE"/>
    <w:multiLevelType w:val="hybridMultilevel"/>
    <w:tmpl w:val="EA80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1196"/>
    <w:multiLevelType w:val="hybridMultilevel"/>
    <w:tmpl w:val="D7CEADCE"/>
    <w:lvl w:ilvl="0" w:tplc="B87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A7DBA"/>
    <w:multiLevelType w:val="hybridMultilevel"/>
    <w:tmpl w:val="FAEE05E6"/>
    <w:lvl w:ilvl="0" w:tplc="8E802F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2687"/>
    <w:multiLevelType w:val="hybridMultilevel"/>
    <w:tmpl w:val="2C5C3218"/>
    <w:lvl w:ilvl="0" w:tplc="B87A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74350"/>
    <w:multiLevelType w:val="hybridMultilevel"/>
    <w:tmpl w:val="3B6E53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A7B9F"/>
    <w:multiLevelType w:val="hybridMultilevel"/>
    <w:tmpl w:val="FAEE05E6"/>
    <w:lvl w:ilvl="0" w:tplc="8E802F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32892">
    <w:abstractNumId w:val="4"/>
  </w:num>
  <w:num w:numId="2" w16cid:durableId="1462453812">
    <w:abstractNumId w:val="0"/>
  </w:num>
  <w:num w:numId="3" w16cid:durableId="415982173">
    <w:abstractNumId w:val="1"/>
  </w:num>
  <w:num w:numId="4" w16cid:durableId="407768157">
    <w:abstractNumId w:val="5"/>
  </w:num>
  <w:num w:numId="5" w16cid:durableId="192771243">
    <w:abstractNumId w:val="2"/>
  </w:num>
  <w:num w:numId="6" w16cid:durableId="1193033461">
    <w:abstractNumId w:val="8"/>
  </w:num>
  <w:num w:numId="7" w16cid:durableId="1248079427">
    <w:abstractNumId w:val="9"/>
  </w:num>
  <w:num w:numId="8" w16cid:durableId="1348170926">
    <w:abstractNumId w:val="7"/>
  </w:num>
  <w:num w:numId="9" w16cid:durableId="1781996176">
    <w:abstractNumId w:val="3"/>
  </w:num>
  <w:num w:numId="10" w16cid:durableId="561722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8E"/>
    <w:rsid w:val="00015509"/>
    <w:rsid w:val="0003575B"/>
    <w:rsid w:val="00047873"/>
    <w:rsid w:val="00055430"/>
    <w:rsid w:val="00076716"/>
    <w:rsid w:val="000A1586"/>
    <w:rsid w:val="000C19D2"/>
    <w:rsid w:val="000D4DC2"/>
    <w:rsid w:val="000D5BF7"/>
    <w:rsid w:val="000E71C0"/>
    <w:rsid w:val="000E7426"/>
    <w:rsid w:val="00116DB4"/>
    <w:rsid w:val="00117897"/>
    <w:rsid w:val="00143D40"/>
    <w:rsid w:val="0016490A"/>
    <w:rsid w:val="00170642"/>
    <w:rsid w:val="001961A1"/>
    <w:rsid w:val="001C27F7"/>
    <w:rsid w:val="001E48C6"/>
    <w:rsid w:val="001E7ED1"/>
    <w:rsid w:val="001F0DB3"/>
    <w:rsid w:val="00201D09"/>
    <w:rsid w:val="00202603"/>
    <w:rsid w:val="00210345"/>
    <w:rsid w:val="002405F3"/>
    <w:rsid w:val="00271046"/>
    <w:rsid w:val="0029672A"/>
    <w:rsid w:val="002A554D"/>
    <w:rsid w:val="002B70C7"/>
    <w:rsid w:val="002E0591"/>
    <w:rsid w:val="00347D2D"/>
    <w:rsid w:val="003676C6"/>
    <w:rsid w:val="00381935"/>
    <w:rsid w:val="003929BB"/>
    <w:rsid w:val="00395FA6"/>
    <w:rsid w:val="003B7289"/>
    <w:rsid w:val="003C4F95"/>
    <w:rsid w:val="003E102C"/>
    <w:rsid w:val="003F3325"/>
    <w:rsid w:val="00410AC4"/>
    <w:rsid w:val="00426A55"/>
    <w:rsid w:val="00435EF5"/>
    <w:rsid w:val="00455E07"/>
    <w:rsid w:val="004564A7"/>
    <w:rsid w:val="0046070D"/>
    <w:rsid w:val="004646C8"/>
    <w:rsid w:val="00472877"/>
    <w:rsid w:val="004A6DE8"/>
    <w:rsid w:val="004B4FFF"/>
    <w:rsid w:val="004B674E"/>
    <w:rsid w:val="004D6905"/>
    <w:rsid w:val="004E3825"/>
    <w:rsid w:val="00502D23"/>
    <w:rsid w:val="00513A3E"/>
    <w:rsid w:val="00514149"/>
    <w:rsid w:val="00537EE8"/>
    <w:rsid w:val="00554D60"/>
    <w:rsid w:val="005720E5"/>
    <w:rsid w:val="0057647F"/>
    <w:rsid w:val="00587479"/>
    <w:rsid w:val="005D7D42"/>
    <w:rsid w:val="005E2BE9"/>
    <w:rsid w:val="0060036D"/>
    <w:rsid w:val="0062594B"/>
    <w:rsid w:val="006318AC"/>
    <w:rsid w:val="00650C9D"/>
    <w:rsid w:val="0067666B"/>
    <w:rsid w:val="006C6618"/>
    <w:rsid w:val="006E060E"/>
    <w:rsid w:val="006E6F2B"/>
    <w:rsid w:val="006F16B0"/>
    <w:rsid w:val="00723B67"/>
    <w:rsid w:val="00745B87"/>
    <w:rsid w:val="00750F75"/>
    <w:rsid w:val="0075508B"/>
    <w:rsid w:val="007572A2"/>
    <w:rsid w:val="00776177"/>
    <w:rsid w:val="007A0AD7"/>
    <w:rsid w:val="007D7905"/>
    <w:rsid w:val="007E4CFE"/>
    <w:rsid w:val="007E595F"/>
    <w:rsid w:val="007E76EF"/>
    <w:rsid w:val="007E7B53"/>
    <w:rsid w:val="00800843"/>
    <w:rsid w:val="00832017"/>
    <w:rsid w:val="00843807"/>
    <w:rsid w:val="00846C8F"/>
    <w:rsid w:val="00852D64"/>
    <w:rsid w:val="00867700"/>
    <w:rsid w:val="008A57D8"/>
    <w:rsid w:val="008B2715"/>
    <w:rsid w:val="008B30C9"/>
    <w:rsid w:val="008B754C"/>
    <w:rsid w:val="008D5B24"/>
    <w:rsid w:val="008E0010"/>
    <w:rsid w:val="008E3563"/>
    <w:rsid w:val="008E435E"/>
    <w:rsid w:val="0091395D"/>
    <w:rsid w:val="00913E06"/>
    <w:rsid w:val="009276B0"/>
    <w:rsid w:val="00932F82"/>
    <w:rsid w:val="00952096"/>
    <w:rsid w:val="00952A56"/>
    <w:rsid w:val="009A43A3"/>
    <w:rsid w:val="009A7A7B"/>
    <w:rsid w:val="009B006C"/>
    <w:rsid w:val="009B4404"/>
    <w:rsid w:val="009D48C0"/>
    <w:rsid w:val="009E0B5A"/>
    <w:rsid w:val="009E62D4"/>
    <w:rsid w:val="009E7B18"/>
    <w:rsid w:val="00A1431E"/>
    <w:rsid w:val="00A250A9"/>
    <w:rsid w:val="00A53DE2"/>
    <w:rsid w:val="00AA3195"/>
    <w:rsid w:val="00AA6D71"/>
    <w:rsid w:val="00AC66EC"/>
    <w:rsid w:val="00AF3292"/>
    <w:rsid w:val="00AF5D41"/>
    <w:rsid w:val="00B0178D"/>
    <w:rsid w:val="00B30D39"/>
    <w:rsid w:val="00B35D09"/>
    <w:rsid w:val="00B553A4"/>
    <w:rsid w:val="00B62B9D"/>
    <w:rsid w:val="00B95E8A"/>
    <w:rsid w:val="00B96F8E"/>
    <w:rsid w:val="00BA21E2"/>
    <w:rsid w:val="00C422BE"/>
    <w:rsid w:val="00C86CF9"/>
    <w:rsid w:val="00CB3460"/>
    <w:rsid w:val="00CD7833"/>
    <w:rsid w:val="00D04666"/>
    <w:rsid w:val="00D224C5"/>
    <w:rsid w:val="00D32025"/>
    <w:rsid w:val="00D61C97"/>
    <w:rsid w:val="00D75B6A"/>
    <w:rsid w:val="00D81211"/>
    <w:rsid w:val="00DC3F8D"/>
    <w:rsid w:val="00DD25C8"/>
    <w:rsid w:val="00DD5079"/>
    <w:rsid w:val="00DE36EF"/>
    <w:rsid w:val="00E1223C"/>
    <w:rsid w:val="00E357F6"/>
    <w:rsid w:val="00E470C7"/>
    <w:rsid w:val="00E55857"/>
    <w:rsid w:val="00E672E1"/>
    <w:rsid w:val="00E7020A"/>
    <w:rsid w:val="00E80933"/>
    <w:rsid w:val="00E838C1"/>
    <w:rsid w:val="00EF0C1C"/>
    <w:rsid w:val="00EF3EA9"/>
    <w:rsid w:val="00F22E53"/>
    <w:rsid w:val="00F41A13"/>
    <w:rsid w:val="00FA3125"/>
    <w:rsid w:val="00FB45FE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78D1"/>
  <w15:chartTrackingRefBased/>
  <w15:docId w15:val="{30704B4D-B36E-400D-8C83-322F9475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F8E"/>
  </w:style>
  <w:style w:type="paragraph" w:styleId="Stopka">
    <w:name w:val="footer"/>
    <w:basedOn w:val="Normalny"/>
    <w:link w:val="StopkaZnak"/>
    <w:uiPriority w:val="99"/>
    <w:unhideWhenUsed/>
    <w:rsid w:val="00B9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F8E"/>
  </w:style>
  <w:style w:type="table" w:styleId="Tabela-Siatka">
    <w:name w:val="Table Grid"/>
    <w:basedOn w:val="Standardowy"/>
    <w:uiPriority w:val="39"/>
    <w:rsid w:val="00B9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86"/>
    <w:rPr>
      <w:rFonts w:ascii="Segoe UI" w:hAnsi="Segoe UI" w:cs="Segoe UI"/>
      <w:sz w:val="18"/>
      <w:szCs w:val="18"/>
    </w:rPr>
  </w:style>
  <w:style w:type="paragraph" w:customStyle="1" w:styleId="Tekstpodstawowywcity31">
    <w:name w:val="Tekst podstawowy wcięty 31"/>
    <w:basedOn w:val="Normalny"/>
    <w:rsid w:val="002E0591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2E059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B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B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awarakomska</cp:lastModifiedBy>
  <cp:revision>4</cp:revision>
  <cp:lastPrinted>2025-01-20T11:33:00Z</cp:lastPrinted>
  <dcterms:created xsi:type="dcterms:W3CDTF">2025-01-17T13:15:00Z</dcterms:created>
  <dcterms:modified xsi:type="dcterms:W3CDTF">2025-01-20T11:37:00Z</dcterms:modified>
</cp:coreProperties>
</file>